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B1" w:rsidRPr="00270BB1" w:rsidRDefault="00270BB1" w:rsidP="00270BB1">
      <w:pPr>
        <w:spacing w:line="216" w:lineRule="auto"/>
        <w:textAlignment w:val="baseline"/>
        <w:rPr>
          <w:rFonts w:eastAsiaTheme="minorEastAsia" w:hAnsi="Century Gothic"/>
          <w:color w:val="002060"/>
          <w:kern w:val="24"/>
          <w:sz w:val="44"/>
          <w:szCs w:val="44"/>
          <w:u w:val="single"/>
        </w:rPr>
      </w:pPr>
      <w:r w:rsidRPr="00270BB1">
        <w:rPr>
          <w:rFonts w:eastAsiaTheme="minorEastAsia" w:hAnsi="Century Gothic"/>
          <w:color w:val="002060"/>
          <w:kern w:val="24"/>
          <w:sz w:val="44"/>
          <w:szCs w:val="44"/>
          <w:u w:val="single"/>
        </w:rPr>
        <w:t>Child Protective Service workers</w:t>
      </w:r>
    </w:p>
    <w:p w:rsidR="00270BB1" w:rsidRDefault="00270BB1" w:rsidP="00270BB1">
      <w:pPr>
        <w:pStyle w:val="ListParagraph"/>
        <w:numPr>
          <w:ilvl w:val="0"/>
          <w:numId w:val="1"/>
        </w:numPr>
        <w:spacing w:line="216" w:lineRule="auto"/>
        <w:textAlignment w:val="baseline"/>
        <w:rPr>
          <w:sz w:val="44"/>
        </w:rPr>
      </w:pPr>
      <w:r>
        <w:rPr>
          <w:rFonts w:asciiTheme="minorHAnsi" w:eastAsiaTheme="minorEastAsia" w:hAnsi="Century Gothic" w:cstheme="minorBidi"/>
          <w:color w:val="002060"/>
          <w:kern w:val="24"/>
          <w:sz w:val="44"/>
          <w:szCs w:val="44"/>
        </w:rPr>
        <w:t xml:space="preserve">50% traumatic stress symptoms in severe range </w:t>
      </w:r>
      <w:r>
        <w:rPr>
          <w:rFonts w:asciiTheme="minorHAnsi" w:eastAsiaTheme="minorEastAsia" w:hAnsi="Century Gothic" w:cstheme="minorBidi"/>
          <w:color w:val="002060"/>
          <w:kern w:val="24"/>
          <w:sz w:val="44"/>
          <w:szCs w:val="44"/>
        </w:rPr>
        <w:br/>
      </w:r>
      <w:r>
        <w:rPr>
          <w:rFonts w:asciiTheme="minorHAnsi" w:eastAsiaTheme="minorEastAsia" w:hAnsi="Century Gothic" w:cstheme="minorBidi"/>
          <w:color w:val="002060"/>
          <w:kern w:val="24"/>
          <w:sz w:val="28"/>
          <w:szCs w:val="28"/>
        </w:rPr>
        <w:t xml:space="preserve">(Conrad&amp; </w:t>
      </w:r>
      <w:proofErr w:type="spellStart"/>
      <w:r>
        <w:rPr>
          <w:rFonts w:asciiTheme="minorHAnsi" w:eastAsiaTheme="minorEastAsia" w:hAnsi="Century Gothic" w:cstheme="minorBidi"/>
          <w:color w:val="002060"/>
          <w:kern w:val="24"/>
          <w:sz w:val="28"/>
          <w:szCs w:val="28"/>
        </w:rPr>
        <w:t>Kellar</w:t>
      </w:r>
      <w:proofErr w:type="spellEnd"/>
      <w:r>
        <w:rPr>
          <w:rFonts w:asciiTheme="minorHAnsi" w:eastAsiaTheme="minorEastAsia" w:hAnsi="Century Gothic" w:cstheme="minorBidi"/>
          <w:color w:val="002060"/>
          <w:kern w:val="24"/>
          <w:sz w:val="28"/>
          <w:szCs w:val="28"/>
        </w:rPr>
        <w:t>-Guenther, 2006)</w:t>
      </w:r>
    </w:p>
    <w:p w:rsidR="00270BB1" w:rsidRDefault="00270BB1" w:rsidP="00270BB1">
      <w:pPr>
        <w:pStyle w:val="ListParagraph"/>
        <w:numPr>
          <w:ilvl w:val="0"/>
          <w:numId w:val="1"/>
        </w:numPr>
        <w:spacing w:line="216" w:lineRule="auto"/>
        <w:textAlignment w:val="baseline"/>
        <w:rPr>
          <w:sz w:val="44"/>
        </w:rPr>
      </w:pPr>
      <w:r>
        <w:rPr>
          <w:rFonts w:asciiTheme="minorHAnsi" w:eastAsiaTheme="minorEastAsia" w:hAnsi="Century Gothic" w:cstheme="minorBidi"/>
          <w:color w:val="002060"/>
          <w:kern w:val="24"/>
          <w:sz w:val="44"/>
          <w:szCs w:val="44"/>
        </w:rPr>
        <w:t xml:space="preserve">34% met the PTSD diagnostic criteria, due to secondary traumatic stress </w:t>
      </w:r>
      <w:r>
        <w:rPr>
          <w:rFonts w:asciiTheme="minorHAnsi" w:eastAsiaTheme="minorEastAsia" w:hAnsi="Century Gothic" w:cstheme="minorBidi"/>
          <w:color w:val="002060"/>
          <w:kern w:val="24"/>
          <w:sz w:val="44"/>
          <w:szCs w:val="44"/>
        </w:rPr>
        <w:br/>
      </w:r>
      <w:r>
        <w:rPr>
          <w:rFonts w:asciiTheme="minorHAnsi" w:eastAsiaTheme="minorEastAsia" w:hAnsi="Century Gothic" w:cstheme="minorBidi"/>
          <w:color w:val="002060"/>
          <w:kern w:val="24"/>
          <w:sz w:val="28"/>
          <w:szCs w:val="28"/>
        </w:rPr>
        <w:t>(Bride 2007)</w:t>
      </w:r>
      <w:bookmarkStart w:id="0" w:name="_GoBack"/>
      <w:bookmarkEnd w:id="0"/>
    </w:p>
    <w:p w:rsidR="00270BB1" w:rsidRDefault="00270BB1" w:rsidP="00270BB1">
      <w:pPr>
        <w:pStyle w:val="ListParagraph"/>
        <w:numPr>
          <w:ilvl w:val="0"/>
          <w:numId w:val="1"/>
        </w:numPr>
        <w:spacing w:line="216" w:lineRule="auto"/>
        <w:textAlignment w:val="baseline"/>
        <w:rPr>
          <w:sz w:val="44"/>
        </w:rPr>
      </w:pPr>
      <w:r>
        <w:rPr>
          <w:rFonts w:asciiTheme="minorHAnsi" w:eastAsiaTheme="minorEastAsia" w:hAnsi="Century Gothic" w:cstheme="minorBidi"/>
          <w:color w:val="002060"/>
          <w:kern w:val="24"/>
          <w:sz w:val="44"/>
          <w:szCs w:val="44"/>
        </w:rPr>
        <w:t xml:space="preserve">37 % reported clinical levels of emotional distress associated with secondary traumatic stress </w:t>
      </w:r>
      <w:r>
        <w:rPr>
          <w:rFonts w:asciiTheme="minorHAnsi" w:eastAsiaTheme="minorEastAsia" w:hAnsi="Century Gothic" w:cstheme="minorBidi"/>
          <w:color w:val="002060"/>
          <w:kern w:val="24"/>
          <w:sz w:val="44"/>
          <w:szCs w:val="44"/>
        </w:rPr>
        <w:br/>
      </w:r>
      <w:r>
        <w:rPr>
          <w:rFonts w:asciiTheme="minorHAnsi" w:eastAsiaTheme="minorEastAsia" w:hAnsi="Century Gothic" w:cstheme="minorBidi"/>
          <w:color w:val="002060"/>
          <w:kern w:val="24"/>
          <w:sz w:val="28"/>
          <w:szCs w:val="28"/>
        </w:rPr>
        <w:t>(</w:t>
      </w:r>
      <w:proofErr w:type="spellStart"/>
      <w:r>
        <w:rPr>
          <w:rFonts w:asciiTheme="minorHAnsi" w:eastAsiaTheme="minorEastAsia" w:hAnsi="Century Gothic" w:cstheme="minorBidi"/>
          <w:color w:val="002060"/>
          <w:kern w:val="24"/>
          <w:sz w:val="28"/>
          <w:szCs w:val="28"/>
        </w:rPr>
        <w:t>Cornille</w:t>
      </w:r>
      <w:proofErr w:type="spellEnd"/>
      <w:r>
        <w:rPr>
          <w:rFonts w:asciiTheme="minorHAnsi" w:eastAsiaTheme="minorEastAsia" w:hAnsi="Century Gothic" w:cstheme="minorBidi"/>
          <w:color w:val="002060"/>
          <w:kern w:val="24"/>
          <w:sz w:val="28"/>
          <w:szCs w:val="28"/>
        </w:rPr>
        <w:t xml:space="preserve"> and Meyers,1999)</w:t>
      </w:r>
    </w:p>
    <w:p w:rsidR="00270BB1" w:rsidRDefault="00270BB1" w:rsidP="00270BB1">
      <w:pPr>
        <w:pStyle w:val="ListParagraph"/>
        <w:numPr>
          <w:ilvl w:val="0"/>
          <w:numId w:val="1"/>
        </w:numPr>
        <w:spacing w:line="216" w:lineRule="auto"/>
        <w:textAlignment w:val="baseline"/>
        <w:rPr>
          <w:sz w:val="44"/>
        </w:rPr>
      </w:pPr>
      <w:r>
        <w:rPr>
          <w:rFonts w:asciiTheme="minorHAnsi" w:eastAsiaTheme="minorEastAsia" w:hAnsi="Century Gothic" w:cstheme="minorBidi"/>
          <w:color w:val="002060"/>
          <w:kern w:val="24"/>
          <w:sz w:val="44"/>
          <w:szCs w:val="44"/>
        </w:rPr>
        <w:t xml:space="preserve">50% suffered from </w:t>
      </w:r>
      <w:r>
        <w:rPr>
          <w:rFonts w:asciiTheme="minorHAnsi" w:eastAsiaTheme="minorEastAsia" w:hAnsi="Century Gothic" w:cstheme="minorBidi"/>
          <w:color w:val="002060"/>
          <w:kern w:val="24"/>
          <w:sz w:val="44"/>
          <w:szCs w:val="44"/>
        </w:rPr>
        <w:t>‘</w:t>
      </w:r>
      <w:r>
        <w:rPr>
          <w:rFonts w:asciiTheme="minorHAnsi" w:eastAsiaTheme="minorEastAsia" w:hAnsi="Century Gothic" w:cstheme="minorBidi"/>
          <w:color w:val="002060"/>
          <w:kern w:val="24"/>
          <w:sz w:val="44"/>
          <w:szCs w:val="44"/>
        </w:rPr>
        <w:t>high</w:t>
      </w:r>
      <w:r>
        <w:rPr>
          <w:rFonts w:asciiTheme="minorHAnsi" w:eastAsiaTheme="minorEastAsia" w:hAnsi="Century Gothic" w:cstheme="minorBidi"/>
          <w:color w:val="002060"/>
          <w:kern w:val="24"/>
          <w:sz w:val="44"/>
          <w:szCs w:val="44"/>
        </w:rPr>
        <w:t>’</w:t>
      </w:r>
      <w:r>
        <w:rPr>
          <w:rFonts w:asciiTheme="minorHAnsi" w:eastAsiaTheme="minorEastAsia" w:hAnsi="Century Gothic" w:cstheme="minorBidi"/>
          <w:color w:val="002060"/>
          <w:kern w:val="24"/>
          <w:sz w:val="44"/>
          <w:szCs w:val="44"/>
        </w:rPr>
        <w:t xml:space="preserve"> to </w:t>
      </w:r>
      <w:r>
        <w:rPr>
          <w:rFonts w:asciiTheme="minorHAnsi" w:eastAsiaTheme="minorEastAsia" w:hAnsi="Century Gothic" w:cstheme="minorBidi"/>
          <w:color w:val="002060"/>
          <w:kern w:val="24"/>
          <w:sz w:val="44"/>
          <w:szCs w:val="44"/>
        </w:rPr>
        <w:t>‘</w:t>
      </w:r>
      <w:r>
        <w:rPr>
          <w:rFonts w:asciiTheme="minorHAnsi" w:eastAsiaTheme="minorEastAsia" w:hAnsi="Century Gothic" w:cstheme="minorBidi"/>
          <w:color w:val="002060"/>
          <w:kern w:val="24"/>
          <w:sz w:val="44"/>
          <w:szCs w:val="44"/>
        </w:rPr>
        <w:t>very high</w:t>
      </w:r>
      <w:r>
        <w:rPr>
          <w:rFonts w:asciiTheme="minorHAnsi" w:eastAsiaTheme="minorEastAsia" w:hAnsi="Century Gothic" w:cstheme="minorBidi"/>
          <w:color w:val="002060"/>
          <w:kern w:val="24"/>
          <w:sz w:val="44"/>
          <w:szCs w:val="44"/>
        </w:rPr>
        <w:t>’</w:t>
      </w:r>
      <w:r>
        <w:rPr>
          <w:rFonts w:asciiTheme="minorHAnsi" w:eastAsiaTheme="minorEastAsia" w:hAnsi="Century Gothic" w:cstheme="minorBidi"/>
          <w:color w:val="002060"/>
          <w:kern w:val="24"/>
          <w:sz w:val="44"/>
          <w:szCs w:val="44"/>
        </w:rPr>
        <w:t xml:space="preserve"> levels of compassion fatigue </w:t>
      </w:r>
    </w:p>
    <w:p w:rsidR="00270BB1" w:rsidRDefault="00270BB1" w:rsidP="00270BB1">
      <w:pPr>
        <w:pStyle w:val="NormalWeb"/>
        <w:spacing w:before="101" w:beforeAutospacing="0" w:after="0" w:afterAutospacing="0" w:line="216" w:lineRule="auto"/>
        <w:textAlignment w:val="baseline"/>
      </w:pPr>
      <w:r>
        <w:rPr>
          <w:rFonts w:asciiTheme="minorHAnsi" w:eastAsiaTheme="minorEastAsia" w:hAnsi="Century Gothic" w:cstheme="minorBidi"/>
          <w:color w:val="002060"/>
          <w:kern w:val="24"/>
          <w:sz w:val="28"/>
          <w:szCs w:val="28"/>
        </w:rPr>
        <w:t xml:space="preserve">   (Conrad &amp; </w:t>
      </w:r>
      <w:proofErr w:type="spellStart"/>
      <w:r>
        <w:rPr>
          <w:rFonts w:asciiTheme="minorHAnsi" w:eastAsiaTheme="minorEastAsia" w:hAnsi="Century Gothic" w:cstheme="minorBidi"/>
          <w:color w:val="002060"/>
          <w:kern w:val="24"/>
          <w:sz w:val="28"/>
          <w:szCs w:val="28"/>
        </w:rPr>
        <w:t>Kellar</w:t>
      </w:r>
      <w:proofErr w:type="spellEnd"/>
      <w:r>
        <w:rPr>
          <w:rFonts w:asciiTheme="minorHAnsi" w:eastAsiaTheme="minorEastAsia" w:hAnsi="Century Gothic" w:cstheme="minorBidi"/>
          <w:color w:val="002060"/>
          <w:kern w:val="24"/>
          <w:sz w:val="28"/>
          <w:szCs w:val="28"/>
        </w:rPr>
        <w:t>-Guenther, 2006)</w:t>
      </w:r>
    </w:p>
    <w:p w:rsidR="00466199" w:rsidRDefault="00466199"/>
    <w:p w:rsidR="00270BB1" w:rsidRDefault="00270BB1" w:rsidP="00270BB1">
      <w:pPr>
        <w:pStyle w:val="NormalWeb"/>
        <w:spacing w:before="151" w:beforeAutospacing="0" w:after="0" w:afterAutospacing="0" w:line="216" w:lineRule="auto"/>
        <w:textAlignment w:val="baseline"/>
      </w:pPr>
      <w:r>
        <w:rPr>
          <w:rFonts w:asciiTheme="minorHAnsi" w:eastAsiaTheme="minorEastAsia" w:hAnsi="Century Gothic" w:cstheme="minorBidi"/>
          <w:b/>
          <w:bCs/>
          <w:color w:val="002060"/>
          <w:kern w:val="24"/>
          <w:sz w:val="42"/>
          <w:szCs w:val="42"/>
          <w:u w:val="single"/>
        </w:rPr>
        <w:t>Therapists, Sexual Assault:</w:t>
      </w:r>
    </w:p>
    <w:p w:rsidR="00270BB1" w:rsidRDefault="00270BB1" w:rsidP="00270BB1">
      <w:pPr>
        <w:pStyle w:val="ListParagraph"/>
        <w:numPr>
          <w:ilvl w:val="0"/>
          <w:numId w:val="2"/>
        </w:numPr>
        <w:spacing w:line="216" w:lineRule="auto"/>
        <w:textAlignment w:val="baseline"/>
        <w:rPr>
          <w:sz w:val="42"/>
        </w:rPr>
      </w:pPr>
      <w:r>
        <w:rPr>
          <w:rFonts w:asciiTheme="minorHAnsi" w:eastAsiaTheme="minorEastAsia" w:hAnsi="Century Gothic" w:cstheme="minorBidi"/>
          <w:color w:val="002060"/>
          <w:kern w:val="24"/>
          <w:sz w:val="42"/>
          <w:szCs w:val="42"/>
        </w:rPr>
        <w:t xml:space="preserve">70% experienced vicarious trauma </w:t>
      </w:r>
      <w:r>
        <w:rPr>
          <w:rFonts w:asciiTheme="minorHAnsi" w:eastAsiaTheme="minorEastAsia" w:hAnsi="Century Gothic" w:cstheme="minorBidi"/>
          <w:color w:val="002060"/>
          <w:kern w:val="24"/>
          <w:sz w:val="28"/>
          <w:szCs w:val="28"/>
        </w:rPr>
        <w:t>(</w:t>
      </w:r>
      <w:proofErr w:type="spellStart"/>
      <w:r>
        <w:rPr>
          <w:rFonts w:asciiTheme="minorHAnsi" w:eastAsiaTheme="minorEastAsia" w:hAnsi="Century Gothic" w:cstheme="minorBidi"/>
          <w:color w:val="002060"/>
          <w:kern w:val="24"/>
          <w:sz w:val="28"/>
          <w:szCs w:val="28"/>
        </w:rPr>
        <w:t>Lobel</w:t>
      </w:r>
      <w:proofErr w:type="spellEnd"/>
      <w:r>
        <w:rPr>
          <w:rFonts w:asciiTheme="minorHAnsi" w:eastAsiaTheme="minorEastAsia" w:hAnsi="Century Gothic" w:cstheme="minorBidi"/>
          <w:color w:val="002060"/>
          <w:kern w:val="24"/>
          <w:sz w:val="28"/>
          <w:szCs w:val="28"/>
        </w:rPr>
        <w:t>, 1997)</w:t>
      </w:r>
    </w:p>
    <w:p w:rsidR="00270BB1" w:rsidRDefault="00270BB1" w:rsidP="00270BB1">
      <w:pPr>
        <w:pStyle w:val="NormalWeb"/>
        <w:spacing w:before="151" w:beforeAutospacing="0" w:after="0" w:afterAutospacing="0" w:line="216" w:lineRule="auto"/>
        <w:textAlignment w:val="baseline"/>
      </w:pPr>
      <w:r>
        <w:rPr>
          <w:rFonts w:asciiTheme="minorHAnsi" w:eastAsiaTheme="minorEastAsia" w:hAnsi="Century Gothic" w:cstheme="minorBidi"/>
          <w:b/>
          <w:bCs/>
          <w:color w:val="002060"/>
          <w:kern w:val="24"/>
          <w:sz w:val="42"/>
          <w:szCs w:val="42"/>
          <w:u w:val="single"/>
        </w:rPr>
        <w:t>Social Workers, Domestic Violence and Sexual Assault:</w:t>
      </w:r>
    </w:p>
    <w:p w:rsidR="00270BB1" w:rsidRDefault="00270BB1" w:rsidP="00270BB1">
      <w:pPr>
        <w:pStyle w:val="ListParagraph"/>
        <w:numPr>
          <w:ilvl w:val="0"/>
          <w:numId w:val="3"/>
        </w:numPr>
        <w:spacing w:line="216" w:lineRule="auto"/>
        <w:textAlignment w:val="baseline"/>
        <w:rPr>
          <w:sz w:val="42"/>
        </w:rPr>
      </w:pPr>
      <w:r>
        <w:rPr>
          <w:rFonts w:asciiTheme="minorHAnsi" w:eastAsiaTheme="minorEastAsia" w:hAnsi="Century Gothic" w:cstheme="minorBidi"/>
          <w:color w:val="002060"/>
          <w:kern w:val="24"/>
          <w:sz w:val="42"/>
          <w:szCs w:val="42"/>
        </w:rPr>
        <w:t xml:space="preserve">65 % had at least one symptom of secondary traumatic stress </w:t>
      </w:r>
      <w:r>
        <w:rPr>
          <w:rFonts w:asciiTheme="minorHAnsi" w:eastAsiaTheme="minorEastAsia" w:hAnsi="Century Gothic" w:cstheme="minorBidi"/>
          <w:color w:val="002060"/>
          <w:kern w:val="24"/>
          <w:sz w:val="28"/>
          <w:szCs w:val="28"/>
        </w:rPr>
        <w:t>(Bride, 2007)</w:t>
      </w:r>
    </w:p>
    <w:p w:rsidR="00270BB1" w:rsidRDefault="00270BB1" w:rsidP="00270BB1">
      <w:pPr>
        <w:pStyle w:val="NormalWeb"/>
        <w:spacing w:before="151" w:beforeAutospacing="0" w:after="0" w:afterAutospacing="0" w:line="216" w:lineRule="auto"/>
        <w:textAlignment w:val="baseline"/>
      </w:pPr>
      <w:r>
        <w:rPr>
          <w:rFonts w:asciiTheme="minorHAnsi" w:eastAsiaTheme="minorEastAsia" w:hAnsi="Century Gothic" w:cstheme="minorBidi"/>
          <w:b/>
          <w:bCs/>
          <w:color w:val="002060"/>
          <w:kern w:val="24"/>
          <w:sz w:val="42"/>
          <w:szCs w:val="42"/>
          <w:u w:val="single"/>
        </w:rPr>
        <w:t>Hospice Nurses:</w:t>
      </w:r>
    </w:p>
    <w:p w:rsidR="00270BB1" w:rsidRDefault="00270BB1" w:rsidP="00270BB1">
      <w:pPr>
        <w:pStyle w:val="ListParagraph"/>
        <w:numPr>
          <w:ilvl w:val="0"/>
          <w:numId w:val="4"/>
        </w:numPr>
        <w:spacing w:line="216" w:lineRule="auto"/>
        <w:textAlignment w:val="baseline"/>
        <w:rPr>
          <w:sz w:val="42"/>
        </w:rPr>
      </w:pPr>
      <w:r>
        <w:rPr>
          <w:rFonts w:asciiTheme="minorHAnsi" w:eastAsiaTheme="minorEastAsia" w:hAnsi="Century Gothic" w:cstheme="minorBidi"/>
          <w:color w:val="002060"/>
          <w:kern w:val="24"/>
          <w:sz w:val="42"/>
          <w:szCs w:val="42"/>
        </w:rPr>
        <w:t>79% moderate to high rates of compassion fatigue;</w:t>
      </w:r>
    </w:p>
    <w:p w:rsidR="00270BB1" w:rsidRDefault="00270BB1" w:rsidP="00270BB1">
      <w:pPr>
        <w:pStyle w:val="ListParagraph"/>
        <w:numPr>
          <w:ilvl w:val="0"/>
          <w:numId w:val="4"/>
        </w:numPr>
        <w:spacing w:line="216" w:lineRule="auto"/>
        <w:textAlignment w:val="baseline"/>
        <w:rPr>
          <w:sz w:val="42"/>
        </w:rPr>
      </w:pPr>
      <w:r>
        <w:rPr>
          <w:rFonts w:asciiTheme="minorHAnsi" w:eastAsiaTheme="minorEastAsia" w:hAnsi="Century Gothic" w:cstheme="minorBidi"/>
          <w:color w:val="002060"/>
          <w:kern w:val="24"/>
          <w:sz w:val="42"/>
          <w:szCs w:val="42"/>
        </w:rPr>
        <w:t xml:space="preserve">83% didn't have a debriefing support after a patient's death </w:t>
      </w:r>
      <w:r>
        <w:rPr>
          <w:rFonts w:asciiTheme="minorHAnsi" w:eastAsiaTheme="minorEastAsia" w:hAnsi="Century Gothic" w:cstheme="minorBidi"/>
          <w:color w:val="002060"/>
          <w:kern w:val="24"/>
          <w:sz w:val="28"/>
          <w:szCs w:val="28"/>
        </w:rPr>
        <w:t>(</w:t>
      </w:r>
      <w:proofErr w:type="spellStart"/>
      <w:r>
        <w:rPr>
          <w:rFonts w:asciiTheme="minorHAnsi" w:eastAsiaTheme="minorEastAsia" w:hAnsi="Century Gothic" w:cstheme="minorBidi"/>
          <w:color w:val="002060"/>
          <w:kern w:val="24"/>
          <w:sz w:val="28"/>
          <w:szCs w:val="28"/>
        </w:rPr>
        <w:t>Abendroth</w:t>
      </w:r>
      <w:proofErr w:type="spellEnd"/>
      <w:r>
        <w:rPr>
          <w:rFonts w:asciiTheme="minorHAnsi" w:eastAsiaTheme="minorEastAsia" w:hAnsi="Century Gothic" w:cstheme="minorBidi"/>
          <w:color w:val="002060"/>
          <w:kern w:val="24"/>
          <w:sz w:val="28"/>
          <w:szCs w:val="28"/>
        </w:rPr>
        <w:t xml:space="preserve"> &amp; Flannery, 2006)</w:t>
      </w:r>
    </w:p>
    <w:p w:rsidR="00270BB1" w:rsidRDefault="00270BB1" w:rsidP="00270BB1">
      <w:pPr>
        <w:pStyle w:val="NormalWeb"/>
        <w:spacing w:before="151" w:beforeAutospacing="0" w:after="0" w:afterAutospacing="0" w:line="216" w:lineRule="auto"/>
        <w:textAlignment w:val="baseline"/>
      </w:pPr>
      <w:r>
        <w:rPr>
          <w:rFonts w:asciiTheme="minorHAnsi" w:eastAsiaTheme="minorEastAsia" w:hAnsi="Century Gothic" w:cstheme="minorBidi"/>
          <w:b/>
          <w:bCs/>
          <w:color w:val="002060"/>
          <w:kern w:val="24"/>
          <w:sz w:val="42"/>
          <w:szCs w:val="42"/>
          <w:u w:val="single"/>
        </w:rPr>
        <w:t>Immigration Judges:</w:t>
      </w:r>
    </w:p>
    <w:p w:rsidR="00270BB1" w:rsidRDefault="00270BB1" w:rsidP="00270BB1">
      <w:pPr>
        <w:pStyle w:val="ListParagraph"/>
        <w:numPr>
          <w:ilvl w:val="0"/>
          <w:numId w:val="5"/>
        </w:numPr>
        <w:spacing w:line="216" w:lineRule="auto"/>
        <w:textAlignment w:val="baseline"/>
        <w:rPr>
          <w:sz w:val="42"/>
        </w:rPr>
      </w:pPr>
      <w:r>
        <w:rPr>
          <w:rFonts w:asciiTheme="minorHAnsi" w:eastAsiaTheme="minorEastAsia" w:hAnsi="Century Gothic" w:cstheme="minorBidi"/>
          <w:color w:val="002060"/>
          <w:kern w:val="24"/>
          <w:sz w:val="42"/>
          <w:szCs w:val="42"/>
        </w:rPr>
        <w:lastRenderedPageBreak/>
        <w:t xml:space="preserve">Higher burnout levels than hospital physicians and prison wardens </w:t>
      </w:r>
      <w:r>
        <w:rPr>
          <w:rFonts w:asciiTheme="minorHAnsi" w:eastAsiaTheme="minorEastAsia" w:hAnsi="Century Gothic" w:cstheme="minorBidi"/>
          <w:color w:val="002060"/>
          <w:kern w:val="24"/>
          <w:sz w:val="28"/>
          <w:szCs w:val="28"/>
        </w:rPr>
        <w:t>(Curtis, 2010)</w:t>
      </w:r>
    </w:p>
    <w:p w:rsidR="00270BB1" w:rsidRDefault="00270BB1"/>
    <w:p w:rsidR="00270BB1" w:rsidRDefault="00270BB1" w:rsidP="00270BB1">
      <w:pPr>
        <w:pStyle w:val="ListParagraph"/>
        <w:numPr>
          <w:ilvl w:val="0"/>
          <w:numId w:val="6"/>
        </w:numPr>
        <w:spacing w:line="216" w:lineRule="auto"/>
        <w:rPr>
          <w:sz w:val="48"/>
        </w:rPr>
      </w:pPr>
      <w:r>
        <w:rPr>
          <w:rFonts w:asciiTheme="minorHAnsi" w:eastAsiaTheme="minorEastAsia" w:hAnsi="Century Gothic" w:cstheme="minorBidi"/>
          <w:b/>
          <w:bCs/>
          <w:i/>
          <w:iCs/>
          <w:color w:val="C00000"/>
          <w:kern w:val="24"/>
          <w:sz w:val="48"/>
          <w:szCs w:val="48"/>
        </w:rPr>
        <w:t>Folks who work in corrections have the highest rates of alcoholism, addiction, domestic violence, divorce, and suicide. If we make it through that we are at risk for dying 20 years earlier than other professions</w:t>
      </w:r>
    </w:p>
    <w:p w:rsidR="00270BB1" w:rsidRDefault="00270BB1" w:rsidP="00270BB1">
      <w:pPr>
        <w:pStyle w:val="ListParagraph"/>
        <w:numPr>
          <w:ilvl w:val="0"/>
          <w:numId w:val="6"/>
        </w:numPr>
        <w:spacing w:line="216" w:lineRule="auto"/>
        <w:rPr>
          <w:sz w:val="48"/>
        </w:rPr>
      </w:pPr>
      <w:r>
        <w:rPr>
          <w:rFonts w:asciiTheme="minorHAnsi" w:eastAsiaTheme="minorEastAsia" w:hAnsi="Century Gothic" w:cstheme="minorBidi"/>
          <w:b/>
          <w:bCs/>
          <w:i/>
          <w:iCs/>
          <w:color w:val="C00000"/>
          <w:kern w:val="24"/>
          <w:sz w:val="48"/>
          <w:szCs w:val="48"/>
        </w:rPr>
        <w:t>Corrections officers suffer from post-traumatic stress disorder at more than double the rate of military veterans in the US</w:t>
      </w:r>
      <w:r>
        <w:rPr>
          <w:rFonts w:asciiTheme="minorHAnsi" w:eastAsiaTheme="minorEastAsia" w:hAnsi="Century Gothic" w:cstheme="minorBidi"/>
          <w:color w:val="C00000"/>
          <w:kern w:val="24"/>
          <w:sz w:val="48"/>
          <w:szCs w:val="48"/>
        </w:rPr>
        <w:t>,</w:t>
      </w:r>
      <w:r>
        <w:rPr>
          <w:rFonts w:asciiTheme="minorHAnsi" w:eastAsiaTheme="minorEastAsia" w:hAnsi="Century Gothic" w:cstheme="minorBidi"/>
          <w:color w:val="C00000"/>
          <w:kern w:val="24"/>
          <w:sz w:val="42"/>
          <w:szCs w:val="42"/>
        </w:rPr>
        <w:t xml:space="preserve"> </w:t>
      </w:r>
      <w:r>
        <w:rPr>
          <w:rFonts w:asciiTheme="minorHAnsi" w:eastAsiaTheme="minorEastAsia" w:hAnsi="Century Gothic" w:cstheme="minorBidi"/>
          <w:color w:val="C00000"/>
          <w:kern w:val="24"/>
          <w:sz w:val="32"/>
          <w:szCs w:val="32"/>
        </w:rPr>
        <w:t xml:space="preserve">according to Caterina </w:t>
      </w:r>
      <w:proofErr w:type="spellStart"/>
      <w:r>
        <w:rPr>
          <w:rFonts w:asciiTheme="minorHAnsi" w:eastAsiaTheme="minorEastAsia" w:hAnsi="Century Gothic" w:cstheme="minorBidi"/>
          <w:color w:val="C00000"/>
          <w:kern w:val="24"/>
          <w:sz w:val="32"/>
          <w:szCs w:val="32"/>
        </w:rPr>
        <w:t>Spinaris</w:t>
      </w:r>
      <w:proofErr w:type="spellEnd"/>
      <w:r>
        <w:rPr>
          <w:rFonts w:asciiTheme="minorHAnsi" w:eastAsiaTheme="minorEastAsia" w:hAnsi="Century Gothic" w:cstheme="minorBidi"/>
          <w:color w:val="C00000"/>
          <w:kern w:val="24"/>
          <w:sz w:val="32"/>
          <w:szCs w:val="32"/>
        </w:rPr>
        <w:t>, the leading professional in corrections-specific clinical research and founder of</w:t>
      </w:r>
      <w:r>
        <w:rPr>
          <w:rFonts w:asciiTheme="minorHAnsi" w:eastAsiaTheme="minorEastAsia" w:hAnsi="Century Gothic" w:cstheme="minorBidi"/>
          <w:color w:val="C00000"/>
          <w:kern w:val="24"/>
          <w:sz w:val="32"/>
          <w:szCs w:val="32"/>
        </w:rPr>
        <w:t> </w:t>
      </w:r>
      <w:hyperlink r:id="rId6" w:history="1">
        <w:r>
          <w:rPr>
            <w:rStyle w:val="Hyperlink"/>
            <w:rFonts w:asciiTheme="minorHAnsi" w:eastAsiaTheme="minorEastAsia" w:hAnsi="Century Gothic" w:cstheme="minorBidi"/>
            <w:color w:val="C00000"/>
            <w:kern w:val="24"/>
            <w:sz w:val="32"/>
            <w:szCs w:val="32"/>
          </w:rPr>
          <w:t>Desert Waters Correctional Outreach</w:t>
        </w:r>
      </w:hyperlink>
      <w:r>
        <w:rPr>
          <w:rFonts w:asciiTheme="minorHAnsi" w:eastAsiaTheme="minorEastAsia" w:hAnsi="Century Gothic" w:cstheme="minorBidi"/>
          <w:color w:val="C00000"/>
          <w:kern w:val="24"/>
          <w:sz w:val="32"/>
          <w:szCs w:val="32"/>
        </w:rPr>
        <w:t>, a nonprofit based in Colorado</w:t>
      </w:r>
      <w:r>
        <w:rPr>
          <w:rFonts w:asciiTheme="minorHAnsi" w:eastAsiaTheme="minorEastAsia" w:hAnsi="Century Gothic" w:cstheme="minorBidi"/>
          <w:color w:val="C00000"/>
          <w:kern w:val="24"/>
          <w:sz w:val="42"/>
          <w:szCs w:val="42"/>
        </w:rPr>
        <w:t>.</w:t>
      </w:r>
    </w:p>
    <w:p w:rsidR="00270BB1" w:rsidRDefault="00270BB1" w:rsidP="00270BB1">
      <w:pPr>
        <w:pStyle w:val="ListParagraph"/>
        <w:numPr>
          <w:ilvl w:val="0"/>
          <w:numId w:val="7"/>
        </w:numPr>
        <w:spacing w:line="216" w:lineRule="auto"/>
        <w:rPr>
          <w:sz w:val="52"/>
        </w:rPr>
      </w:pPr>
      <w:r>
        <w:rPr>
          <w:rFonts w:asciiTheme="minorHAnsi" w:eastAsiaTheme="minorEastAsia" w:hAnsi="Century Gothic" w:cstheme="minorBidi"/>
          <w:b/>
          <w:bCs/>
          <w:color w:val="C00000"/>
          <w:kern w:val="24"/>
          <w:sz w:val="52"/>
          <w:szCs w:val="52"/>
        </w:rPr>
        <w:t>34% of corrections officers suffer from PTSD</w:t>
      </w:r>
      <w:r>
        <w:rPr>
          <w:rFonts w:asciiTheme="minorHAnsi" w:eastAsiaTheme="minorEastAsia" w:hAnsi="Century Gothic" w:cstheme="minorBidi"/>
          <w:color w:val="C00000"/>
          <w:kern w:val="24"/>
          <w:sz w:val="52"/>
          <w:szCs w:val="52"/>
        </w:rPr>
        <w:t xml:space="preserve"> </w:t>
      </w:r>
      <w:r>
        <w:rPr>
          <w:rFonts w:asciiTheme="minorHAnsi" w:eastAsiaTheme="minorEastAsia" w:hAnsi="Century Gothic" w:cstheme="minorBidi"/>
          <w:b/>
          <w:bCs/>
          <w:i/>
          <w:iCs/>
          <w:color w:val="002060"/>
          <w:kern w:val="24"/>
          <w:sz w:val="36"/>
          <w:szCs w:val="36"/>
        </w:rPr>
        <w:t>compared to</w:t>
      </w:r>
      <w:r>
        <w:rPr>
          <w:rFonts w:asciiTheme="minorHAnsi" w:eastAsiaTheme="minorEastAsia" w:hAnsi="Century Gothic" w:cstheme="minorBidi"/>
          <w:b/>
          <w:bCs/>
          <w:i/>
          <w:iCs/>
          <w:color w:val="002060"/>
          <w:kern w:val="24"/>
          <w:sz w:val="36"/>
          <w:szCs w:val="36"/>
        </w:rPr>
        <w:t> </w:t>
      </w:r>
      <w:hyperlink r:id="rId7" w:history="1">
        <w:r>
          <w:rPr>
            <w:rStyle w:val="Hyperlink"/>
            <w:rFonts w:asciiTheme="minorHAnsi" w:eastAsiaTheme="minorEastAsia" w:hAnsi="Century Gothic" w:cstheme="minorBidi"/>
            <w:b/>
            <w:bCs/>
            <w:i/>
            <w:iCs/>
            <w:color w:val="002060"/>
            <w:kern w:val="24"/>
            <w:sz w:val="36"/>
            <w:szCs w:val="36"/>
          </w:rPr>
          <w:t>14%</w:t>
        </w:r>
      </w:hyperlink>
      <w:r>
        <w:rPr>
          <w:rFonts w:asciiTheme="minorHAnsi" w:eastAsiaTheme="minorEastAsia" w:hAnsi="Century Gothic" w:cstheme="minorBidi"/>
          <w:b/>
          <w:bCs/>
          <w:i/>
          <w:iCs/>
          <w:color w:val="002060"/>
          <w:kern w:val="24"/>
          <w:sz w:val="36"/>
          <w:szCs w:val="36"/>
          <w:u w:val="single"/>
        </w:rPr>
        <w:t> </w:t>
      </w:r>
      <w:r>
        <w:rPr>
          <w:rFonts w:asciiTheme="minorHAnsi" w:eastAsiaTheme="minorEastAsia" w:hAnsi="Century Gothic" w:cstheme="minorBidi"/>
          <w:b/>
          <w:bCs/>
          <w:i/>
          <w:iCs/>
          <w:color w:val="002060"/>
          <w:kern w:val="24"/>
          <w:sz w:val="36"/>
          <w:szCs w:val="36"/>
        </w:rPr>
        <w:t>of military veterans</w:t>
      </w:r>
    </w:p>
    <w:p w:rsidR="00270BB1" w:rsidRDefault="00270BB1" w:rsidP="00270BB1">
      <w:pPr>
        <w:pStyle w:val="ListParagraph"/>
        <w:numPr>
          <w:ilvl w:val="0"/>
          <w:numId w:val="7"/>
        </w:numPr>
        <w:spacing w:line="216" w:lineRule="auto"/>
        <w:rPr>
          <w:sz w:val="52"/>
        </w:rPr>
      </w:pPr>
      <w:r>
        <w:rPr>
          <w:rFonts w:asciiTheme="minorHAnsi" w:eastAsiaTheme="minorEastAsia" w:hAnsi="Century Gothic" w:cstheme="minorBidi"/>
          <w:b/>
          <w:bCs/>
          <w:color w:val="C00000"/>
          <w:kern w:val="24"/>
          <w:sz w:val="52"/>
          <w:szCs w:val="52"/>
        </w:rPr>
        <w:t xml:space="preserve">The suicide rate among corrections officers is twice as high as that of both police officers and the general public                                                   </w:t>
      </w:r>
      <w:r>
        <w:rPr>
          <w:rFonts w:asciiTheme="minorHAnsi" w:eastAsiaTheme="minorEastAsia" w:hAnsi="Century Gothic" w:cstheme="minorBidi"/>
          <w:b/>
          <w:bCs/>
          <w:i/>
          <w:iCs/>
          <w:color w:val="002060"/>
          <w:kern w:val="24"/>
          <w:sz w:val="36"/>
          <w:szCs w:val="36"/>
        </w:rPr>
        <w:t>An earlier national study found that corrections officers</w:t>
      </w:r>
      <w:r>
        <w:rPr>
          <w:rFonts w:asciiTheme="minorHAnsi" w:eastAsiaTheme="minorEastAsia" w:hAnsi="Century Gothic" w:cstheme="minorBidi"/>
          <w:b/>
          <w:bCs/>
          <w:i/>
          <w:iCs/>
          <w:color w:val="002060"/>
          <w:kern w:val="24"/>
          <w:sz w:val="36"/>
          <w:szCs w:val="36"/>
        </w:rPr>
        <w:t>’</w:t>
      </w:r>
      <w:r>
        <w:rPr>
          <w:rFonts w:asciiTheme="minorHAnsi" w:eastAsiaTheme="minorEastAsia" w:hAnsi="Century Gothic" w:cstheme="minorBidi"/>
          <w:b/>
          <w:bCs/>
          <w:i/>
          <w:iCs/>
          <w:color w:val="002060"/>
          <w:kern w:val="24"/>
          <w:sz w:val="36"/>
          <w:szCs w:val="36"/>
        </w:rPr>
        <w:t xml:space="preserve"> suicide risk was 39% higher than all other professions combined</w:t>
      </w:r>
    </w:p>
    <w:p w:rsidR="00270BB1" w:rsidRDefault="00270BB1"/>
    <w:sectPr w:rsidR="00270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295B"/>
    <w:multiLevelType w:val="hybridMultilevel"/>
    <w:tmpl w:val="A2DEAF4A"/>
    <w:lvl w:ilvl="0" w:tplc="4948E01C">
      <w:start w:val="1"/>
      <w:numFmt w:val="bullet"/>
      <w:lvlText w:val="•"/>
      <w:lvlJc w:val="left"/>
      <w:pPr>
        <w:tabs>
          <w:tab w:val="num" w:pos="720"/>
        </w:tabs>
        <w:ind w:left="720" w:hanging="360"/>
      </w:pPr>
      <w:rPr>
        <w:rFonts w:ascii="Arial" w:hAnsi="Arial" w:hint="default"/>
      </w:rPr>
    </w:lvl>
    <w:lvl w:ilvl="1" w:tplc="4CEC91FA" w:tentative="1">
      <w:start w:val="1"/>
      <w:numFmt w:val="bullet"/>
      <w:lvlText w:val="•"/>
      <w:lvlJc w:val="left"/>
      <w:pPr>
        <w:tabs>
          <w:tab w:val="num" w:pos="1440"/>
        </w:tabs>
        <w:ind w:left="1440" w:hanging="360"/>
      </w:pPr>
      <w:rPr>
        <w:rFonts w:ascii="Arial" w:hAnsi="Arial" w:hint="default"/>
      </w:rPr>
    </w:lvl>
    <w:lvl w:ilvl="2" w:tplc="88627CD8" w:tentative="1">
      <w:start w:val="1"/>
      <w:numFmt w:val="bullet"/>
      <w:lvlText w:val="•"/>
      <w:lvlJc w:val="left"/>
      <w:pPr>
        <w:tabs>
          <w:tab w:val="num" w:pos="2160"/>
        </w:tabs>
        <w:ind w:left="2160" w:hanging="360"/>
      </w:pPr>
      <w:rPr>
        <w:rFonts w:ascii="Arial" w:hAnsi="Arial" w:hint="default"/>
      </w:rPr>
    </w:lvl>
    <w:lvl w:ilvl="3" w:tplc="D4FA2628" w:tentative="1">
      <w:start w:val="1"/>
      <w:numFmt w:val="bullet"/>
      <w:lvlText w:val="•"/>
      <w:lvlJc w:val="left"/>
      <w:pPr>
        <w:tabs>
          <w:tab w:val="num" w:pos="2880"/>
        </w:tabs>
        <w:ind w:left="2880" w:hanging="360"/>
      </w:pPr>
      <w:rPr>
        <w:rFonts w:ascii="Arial" w:hAnsi="Arial" w:hint="default"/>
      </w:rPr>
    </w:lvl>
    <w:lvl w:ilvl="4" w:tplc="1F541D8C" w:tentative="1">
      <w:start w:val="1"/>
      <w:numFmt w:val="bullet"/>
      <w:lvlText w:val="•"/>
      <w:lvlJc w:val="left"/>
      <w:pPr>
        <w:tabs>
          <w:tab w:val="num" w:pos="3600"/>
        </w:tabs>
        <w:ind w:left="3600" w:hanging="360"/>
      </w:pPr>
      <w:rPr>
        <w:rFonts w:ascii="Arial" w:hAnsi="Arial" w:hint="default"/>
      </w:rPr>
    </w:lvl>
    <w:lvl w:ilvl="5" w:tplc="FAAC64C0" w:tentative="1">
      <w:start w:val="1"/>
      <w:numFmt w:val="bullet"/>
      <w:lvlText w:val="•"/>
      <w:lvlJc w:val="left"/>
      <w:pPr>
        <w:tabs>
          <w:tab w:val="num" w:pos="4320"/>
        </w:tabs>
        <w:ind w:left="4320" w:hanging="360"/>
      </w:pPr>
      <w:rPr>
        <w:rFonts w:ascii="Arial" w:hAnsi="Arial" w:hint="default"/>
      </w:rPr>
    </w:lvl>
    <w:lvl w:ilvl="6" w:tplc="84D440DA" w:tentative="1">
      <w:start w:val="1"/>
      <w:numFmt w:val="bullet"/>
      <w:lvlText w:val="•"/>
      <w:lvlJc w:val="left"/>
      <w:pPr>
        <w:tabs>
          <w:tab w:val="num" w:pos="5040"/>
        </w:tabs>
        <w:ind w:left="5040" w:hanging="360"/>
      </w:pPr>
      <w:rPr>
        <w:rFonts w:ascii="Arial" w:hAnsi="Arial" w:hint="default"/>
      </w:rPr>
    </w:lvl>
    <w:lvl w:ilvl="7" w:tplc="384E8032" w:tentative="1">
      <w:start w:val="1"/>
      <w:numFmt w:val="bullet"/>
      <w:lvlText w:val="•"/>
      <w:lvlJc w:val="left"/>
      <w:pPr>
        <w:tabs>
          <w:tab w:val="num" w:pos="5760"/>
        </w:tabs>
        <w:ind w:left="5760" w:hanging="360"/>
      </w:pPr>
      <w:rPr>
        <w:rFonts w:ascii="Arial" w:hAnsi="Arial" w:hint="default"/>
      </w:rPr>
    </w:lvl>
    <w:lvl w:ilvl="8" w:tplc="9A16E6C2" w:tentative="1">
      <w:start w:val="1"/>
      <w:numFmt w:val="bullet"/>
      <w:lvlText w:val="•"/>
      <w:lvlJc w:val="left"/>
      <w:pPr>
        <w:tabs>
          <w:tab w:val="num" w:pos="6480"/>
        </w:tabs>
        <w:ind w:left="6480" w:hanging="360"/>
      </w:pPr>
      <w:rPr>
        <w:rFonts w:ascii="Arial" w:hAnsi="Arial" w:hint="default"/>
      </w:rPr>
    </w:lvl>
  </w:abstractNum>
  <w:abstractNum w:abstractNumId="1">
    <w:nsid w:val="4B95549F"/>
    <w:multiLevelType w:val="hybridMultilevel"/>
    <w:tmpl w:val="4F504368"/>
    <w:lvl w:ilvl="0" w:tplc="3FB435D0">
      <w:start w:val="1"/>
      <w:numFmt w:val="bullet"/>
      <w:lvlText w:val="•"/>
      <w:lvlJc w:val="left"/>
      <w:pPr>
        <w:tabs>
          <w:tab w:val="num" w:pos="720"/>
        </w:tabs>
        <w:ind w:left="720" w:hanging="360"/>
      </w:pPr>
      <w:rPr>
        <w:rFonts w:ascii="Arial" w:hAnsi="Arial" w:hint="default"/>
      </w:rPr>
    </w:lvl>
    <w:lvl w:ilvl="1" w:tplc="C8C01952" w:tentative="1">
      <w:start w:val="1"/>
      <w:numFmt w:val="bullet"/>
      <w:lvlText w:val="•"/>
      <w:lvlJc w:val="left"/>
      <w:pPr>
        <w:tabs>
          <w:tab w:val="num" w:pos="1440"/>
        </w:tabs>
        <w:ind w:left="1440" w:hanging="360"/>
      </w:pPr>
      <w:rPr>
        <w:rFonts w:ascii="Arial" w:hAnsi="Arial" w:hint="default"/>
      </w:rPr>
    </w:lvl>
    <w:lvl w:ilvl="2" w:tplc="B120CE3A" w:tentative="1">
      <w:start w:val="1"/>
      <w:numFmt w:val="bullet"/>
      <w:lvlText w:val="•"/>
      <w:lvlJc w:val="left"/>
      <w:pPr>
        <w:tabs>
          <w:tab w:val="num" w:pos="2160"/>
        </w:tabs>
        <w:ind w:left="2160" w:hanging="360"/>
      </w:pPr>
      <w:rPr>
        <w:rFonts w:ascii="Arial" w:hAnsi="Arial" w:hint="default"/>
      </w:rPr>
    </w:lvl>
    <w:lvl w:ilvl="3" w:tplc="26782618" w:tentative="1">
      <w:start w:val="1"/>
      <w:numFmt w:val="bullet"/>
      <w:lvlText w:val="•"/>
      <w:lvlJc w:val="left"/>
      <w:pPr>
        <w:tabs>
          <w:tab w:val="num" w:pos="2880"/>
        </w:tabs>
        <w:ind w:left="2880" w:hanging="360"/>
      </w:pPr>
      <w:rPr>
        <w:rFonts w:ascii="Arial" w:hAnsi="Arial" w:hint="default"/>
      </w:rPr>
    </w:lvl>
    <w:lvl w:ilvl="4" w:tplc="E2903332" w:tentative="1">
      <w:start w:val="1"/>
      <w:numFmt w:val="bullet"/>
      <w:lvlText w:val="•"/>
      <w:lvlJc w:val="left"/>
      <w:pPr>
        <w:tabs>
          <w:tab w:val="num" w:pos="3600"/>
        </w:tabs>
        <w:ind w:left="3600" w:hanging="360"/>
      </w:pPr>
      <w:rPr>
        <w:rFonts w:ascii="Arial" w:hAnsi="Arial" w:hint="default"/>
      </w:rPr>
    </w:lvl>
    <w:lvl w:ilvl="5" w:tplc="75363808" w:tentative="1">
      <w:start w:val="1"/>
      <w:numFmt w:val="bullet"/>
      <w:lvlText w:val="•"/>
      <w:lvlJc w:val="left"/>
      <w:pPr>
        <w:tabs>
          <w:tab w:val="num" w:pos="4320"/>
        </w:tabs>
        <w:ind w:left="4320" w:hanging="360"/>
      </w:pPr>
      <w:rPr>
        <w:rFonts w:ascii="Arial" w:hAnsi="Arial" w:hint="default"/>
      </w:rPr>
    </w:lvl>
    <w:lvl w:ilvl="6" w:tplc="1086439C" w:tentative="1">
      <w:start w:val="1"/>
      <w:numFmt w:val="bullet"/>
      <w:lvlText w:val="•"/>
      <w:lvlJc w:val="left"/>
      <w:pPr>
        <w:tabs>
          <w:tab w:val="num" w:pos="5040"/>
        </w:tabs>
        <w:ind w:left="5040" w:hanging="360"/>
      </w:pPr>
      <w:rPr>
        <w:rFonts w:ascii="Arial" w:hAnsi="Arial" w:hint="default"/>
      </w:rPr>
    </w:lvl>
    <w:lvl w:ilvl="7" w:tplc="2862C374" w:tentative="1">
      <w:start w:val="1"/>
      <w:numFmt w:val="bullet"/>
      <w:lvlText w:val="•"/>
      <w:lvlJc w:val="left"/>
      <w:pPr>
        <w:tabs>
          <w:tab w:val="num" w:pos="5760"/>
        </w:tabs>
        <w:ind w:left="5760" w:hanging="360"/>
      </w:pPr>
      <w:rPr>
        <w:rFonts w:ascii="Arial" w:hAnsi="Arial" w:hint="default"/>
      </w:rPr>
    </w:lvl>
    <w:lvl w:ilvl="8" w:tplc="D06EB732" w:tentative="1">
      <w:start w:val="1"/>
      <w:numFmt w:val="bullet"/>
      <w:lvlText w:val="•"/>
      <w:lvlJc w:val="left"/>
      <w:pPr>
        <w:tabs>
          <w:tab w:val="num" w:pos="6480"/>
        </w:tabs>
        <w:ind w:left="6480" w:hanging="360"/>
      </w:pPr>
      <w:rPr>
        <w:rFonts w:ascii="Arial" w:hAnsi="Arial" w:hint="default"/>
      </w:rPr>
    </w:lvl>
  </w:abstractNum>
  <w:abstractNum w:abstractNumId="2">
    <w:nsid w:val="5B9B24F4"/>
    <w:multiLevelType w:val="hybridMultilevel"/>
    <w:tmpl w:val="C8A29A70"/>
    <w:lvl w:ilvl="0" w:tplc="2D3A9560">
      <w:start w:val="1"/>
      <w:numFmt w:val="bullet"/>
      <w:lvlText w:val="•"/>
      <w:lvlJc w:val="left"/>
      <w:pPr>
        <w:tabs>
          <w:tab w:val="num" w:pos="720"/>
        </w:tabs>
        <w:ind w:left="720" w:hanging="360"/>
      </w:pPr>
      <w:rPr>
        <w:rFonts w:ascii="Arial" w:hAnsi="Arial" w:hint="default"/>
      </w:rPr>
    </w:lvl>
    <w:lvl w:ilvl="1" w:tplc="FEBC1A68" w:tentative="1">
      <w:start w:val="1"/>
      <w:numFmt w:val="bullet"/>
      <w:lvlText w:val="•"/>
      <w:lvlJc w:val="left"/>
      <w:pPr>
        <w:tabs>
          <w:tab w:val="num" w:pos="1440"/>
        </w:tabs>
        <w:ind w:left="1440" w:hanging="360"/>
      </w:pPr>
      <w:rPr>
        <w:rFonts w:ascii="Arial" w:hAnsi="Arial" w:hint="default"/>
      </w:rPr>
    </w:lvl>
    <w:lvl w:ilvl="2" w:tplc="7C483CEE" w:tentative="1">
      <w:start w:val="1"/>
      <w:numFmt w:val="bullet"/>
      <w:lvlText w:val="•"/>
      <w:lvlJc w:val="left"/>
      <w:pPr>
        <w:tabs>
          <w:tab w:val="num" w:pos="2160"/>
        </w:tabs>
        <w:ind w:left="2160" w:hanging="360"/>
      </w:pPr>
      <w:rPr>
        <w:rFonts w:ascii="Arial" w:hAnsi="Arial" w:hint="default"/>
      </w:rPr>
    </w:lvl>
    <w:lvl w:ilvl="3" w:tplc="F8C2D93E" w:tentative="1">
      <w:start w:val="1"/>
      <w:numFmt w:val="bullet"/>
      <w:lvlText w:val="•"/>
      <w:lvlJc w:val="left"/>
      <w:pPr>
        <w:tabs>
          <w:tab w:val="num" w:pos="2880"/>
        </w:tabs>
        <w:ind w:left="2880" w:hanging="360"/>
      </w:pPr>
      <w:rPr>
        <w:rFonts w:ascii="Arial" w:hAnsi="Arial" w:hint="default"/>
      </w:rPr>
    </w:lvl>
    <w:lvl w:ilvl="4" w:tplc="A392AD04" w:tentative="1">
      <w:start w:val="1"/>
      <w:numFmt w:val="bullet"/>
      <w:lvlText w:val="•"/>
      <w:lvlJc w:val="left"/>
      <w:pPr>
        <w:tabs>
          <w:tab w:val="num" w:pos="3600"/>
        </w:tabs>
        <w:ind w:left="3600" w:hanging="360"/>
      </w:pPr>
      <w:rPr>
        <w:rFonts w:ascii="Arial" w:hAnsi="Arial" w:hint="default"/>
      </w:rPr>
    </w:lvl>
    <w:lvl w:ilvl="5" w:tplc="E0103F32" w:tentative="1">
      <w:start w:val="1"/>
      <w:numFmt w:val="bullet"/>
      <w:lvlText w:val="•"/>
      <w:lvlJc w:val="left"/>
      <w:pPr>
        <w:tabs>
          <w:tab w:val="num" w:pos="4320"/>
        </w:tabs>
        <w:ind w:left="4320" w:hanging="360"/>
      </w:pPr>
      <w:rPr>
        <w:rFonts w:ascii="Arial" w:hAnsi="Arial" w:hint="default"/>
      </w:rPr>
    </w:lvl>
    <w:lvl w:ilvl="6" w:tplc="BFBC2002" w:tentative="1">
      <w:start w:val="1"/>
      <w:numFmt w:val="bullet"/>
      <w:lvlText w:val="•"/>
      <w:lvlJc w:val="left"/>
      <w:pPr>
        <w:tabs>
          <w:tab w:val="num" w:pos="5040"/>
        </w:tabs>
        <w:ind w:left="5040" w:hanging="360"/>
      </w:pPr>
      <w:rPr>
        <w:rFonts w:ascii="Arial" w:hAnsi="Arial" w:hint="default"/>
      </w:rPr>
    </w:lvl>
    <w:lvl w:ilvl="7" w:tplc="2FC649A4" w:tentative="1">
      <w:start w:val="1"/>
      <w:numFmt w:val="bullet"/>
      <w:lvlText w:val="•"/>
      <w:lvlJc w:val="left"/>
      <w:pPr>
        <w:tabs>
          <w:tab w:val="num" w:pos="5760"/>
        </w:tabs>
        <w:ind w:left="5760" w:hanging="360"/>
      </w:pPr>
      <w:rPr>
        <w:rFonts w:ascii="Arial" w:hAnsi="Arial" w:hint="default"/>
      </w:rPr>
    </w:lvl>
    <w:lvl w:ilvl="8" w:tplc="8714AED2" w:tentative="1">
      <w:start w:val="1"/>
      <w:numFmt w:val="bullet"/>
      <w:lvlText w:val="•"/>
      <w:lvlJc w:val="left"/>
      <w:pPr>
        <w:tabs>
          <w:tab w:val="num" w:pos="6480"/>
        </w:tabs>
        <w:ind w:left="6480" w:hanging="360"/>
      </w:pPr>
      <w:rPr>
        <w:rFonts w:ascii="Arial" w:hAnsi="Arial" w:hint="default"/>
      </w:rPr>
    </w:lvl>
  </w:abstractNum>
  <w:abstractNum w:abstractNumId="3">
    <w:nsid w:val="5F520F10"/>
    <w:multiLevelType w:val="hybridMultilevel"/>
    <w:tmpl w:val="2ECA5B50"/>
    <w:lvl w:ilvl="0" w:tplc="86B43146">
      <w:start w:val="1"/>
      <w:numFmt w:val="bullet"/>
      <w:lvlText w:val=""/>
      <w:lvlJc w:val="left"/>
      <w:pPr>
        <w:tabs>
          <w:tab w:val="num" w:pos="720"/>
        </w:tabs>
        <w:ind w:left="720" w:hanging="360"/>
      </w:pPr>
      <w:rPr>
        <w:rFonts w:ascii="Wingdings" w:hAnsi="Wingdings" w:hint="default"/>
      </w:rPr>
    </w:lvl>
    <w:lvl w:ilvl="1" w:tplc="8F94C624" w:tentative="1">
      <w:start w:val="1"/>
      <w:numFmt w:val="bullet"/>
      <w:lvlText w:val=""/>
      <w:lvlJc w:val="left"/>
      <w:pPr>
        <w:tabs>
          <w:tab w:val="num" w:pos="1440"/>
        </w:tabs>
        <w:ind w:left="1440" w:hanging="360"/>
      </w:pPr>
      <w:rPr>
        <w:rFonts w:ascii="Wingdings" w:hAnsi="Wingdings" w:hint="default"/>
      </w:rPr>
    </w:lvl>
    <w:lvl w:ilvl="2" w:tplc="E696BDF6" w:tentative="1">
      <w:start w:val="1"/>
      <w:numFmt w:val="bullet"/>
      <w:lvlText w:val=""/>
      <w:lvlJc w:val="left"/>
      <w:pPr>
        <w:tabs>
          <w:tab w:val="num" w:pos="2160"/>
        </w:tabs>
        <w:ind w:left="2160" w:hanging="360"/>
      </w:pPr>
      <w:rPr>
        <w:rFonts w:ascii="Wingdings" w:hAnsi="Wingdings" w:hint="default"/>
      </w:rPr>
    </w:lvl>
    <w:lvl w:ilvl="3" w:tplc="FF68DE8C" w:tentative="1">
      <w:start w:val="1"/>
      <w:numFmt w:val="bullet"/>
      <w:lvlText w:val=""/>
      <w:lvlJc w:val="left"/>
      <w:pPr>
        <w:tabs>
          <w:tab w:val="num" w:pos="2880"/>
        </w:tabs>
        <w:ind w:left="2880" w:hanging="360"/>
      </w:pPr>
      <w:rPr>
        <w:rFonts w:ascii="Wingdings" w:hAnsi="Wingdings" w:hint="default"/>
      </w:rPr>
    </w:lvl>
    <w:lvl w:ilvl="4" w:tplc="4BCC3D90" w:tentative="1">
      <w:start w:val="1"/>
      <w:numFmt w:val="bullet"/>
      <w:lvlText w:val=""/>
      <w:lvlJc w:val="left"/>
      <w:pPr>
        <w:tabs>
          <w:tab w:val="num" w:pos="3600"/>
        </w:tabs>
        <w:ind w:left="3600" w:hanging="360"/>
      </w:pPr>
      <w:rPr>
        <w:rFonts w:ascii="Wingdings" w:hAnsi="Wingdings" w:hint="default"/>
      </w:rPr>
    </w:lvl>
    <w:lvl w:ilvl="5" w:tplc="23C8213E" w:tentative="1">
      <w:start w:val="1"/>
      <w:numFmt w:val="bullet"/>
      <w:lvlText w:val=""/>
      <w:lvlJc w:val="left"/>
      <w:pPr>
        <w:tabs>
          <w:tab w:val="num" w:pos="4320"/>
        </w:tabs>
        <w:ind w:left="4320" w:hanging="360"/>
      </w:pPr>
      <w:rPr>
        <w:rFonts w:ascii="Wingdings" w:hAnsi="Wingdings" w:hint="default"/>
      </w:rPr>
    </w:lvl>
    <w:lvl w:ilvl="6" w:tplc="91C6E9A4" w:tentative="1">
      <w:start w:val="1"/>
      <w:numFmt w:val="bullet"/>
      <w:lvlText w:val=""/>
      <w:lvlJc w:val="left"/>
      <w:pPr>
        <w:tabs>
          <w:tab w:val="num" w:pos="5040"/>
        </w:tabs>
        <w:ind w:left="5040" w:hanging="360"/>
      </w:pPr>
      <w:rPr>
        <w:rFonts w:ascii="Wingdings" w:hAnsi="Wingdings" w:hint="default"/>
      </w:rPr>
    </w:lvl>
    <w:lvl w:ilvl="7" w:tplc="EA00979C" w:tentative="1">
      <w:start w:val="1"/>
      <w:numFmt w:val="bullet"/>
      <w:lvlText w:val=""/>
      <w:lvlJc w:val="left"/>
      <w:pPr>
        <w:tabs>
          <w:tab w:val="num" w:pos="5760"/>
        </w:tabs>
        <w:ind w:left="5760" w:hanging="360"/>
      </w:pPr>
      <w:rPr>
        <w:rFonts w:ascii="Wingdings" w:hAnsi="Wingdings" w:hint="default"/>
      </w:rPr>
    </w:lvl>
    <w:lvl w:ilvl="8" w:tplc="AB9AB740" w:tentative="1">
      <w:start w:val="1"/>
      <w:numFmt w:val="bullet"/>
      <w:lvlText w:val=""/>
      <w:lvlJc w:val="left"/>
      <w:pPr>
        <w:tabs>
          <w:tab w:val="num" w:pos="6480"/>
        </w:tabs>
        <w:ind w:left="6480" w:hanging="360"/>
      </w:pPr>
      <w:rPr>
        <w:rFonts w:ascii="Wingdings" w:hAnsi="Wingdings" w:hint="default"/>
      </w:rPr>
    </w:lvl>
  </w:abstractNum>
  <w:abstractNum w:abstractNumId="4">
    <w:nsid w:val="64224570"/>
    <w:multiLevelType w:val="hybridMultilevel"/>
    <w:tmpl w:val="49A0CBB8"/>
    <w:lvl w:ilvl="0" w:tplc="10B08E06">
      <w:start w:val="1"/>
      <w:numFmt w:val="bullet"/>
      <w:lvlText w:val="•"/>
      <w:lvlJc w:val="left"/>
      <w:pPr>
        <w:tabs>
          <w:tab w:val="num" w:pos="720"/>
        </w:tabs>
        <w:ind w:left="720" w:hanging="360"/>
      </w:pPr>
      <w:rPr>
        <w:rFonts w:ascii="Arial" w:hAnsi="Arial" w:hint="default"/>
      </w:rPr>
    </w:lvl>
    <w:lvl w:ilvl="1" w:tplc="F4D06D02" w:tentative="1">
      <w:start w:val="1"/>
      <w:numFmt w:val="bullet"/>
      <w:lvlText w:val="•"/>
      <w:lvlJc w:val="left"/>
      <w:pPr>
        <w:tabs>
          <w:tab w:val="num" w:pos="1440"/>
        </w:tabs>
        <w:ind w:left="1440" w:hanging="360"/>
      </w:pPr>
      <w:rPr>
        <w:rFonts w:ascii="Arial" w:hAnsi="Arial" w:hint="default"/>
      </w:rPr>
    </w:lvl>
    <w:lvl w:ilvl="2" w:tplc="52723F3A" w:tentative="1">
      <w:start w:val="1"/>
      <w:numFmt w:val="bullet"/>
      <w:lvlText w:val="•"/>
      <w:lvlJc w:val="left"/>
      <w:pPr>
        <w:tabs>
          <w:tab w:val="num" w:pos="2160"/>
        </w:tabs>
        <w:ind w:left="2160" w:hanging="360"/>
      </w:pPr>
      <w:rPr>
        <w:rFonts w:ascii="Arial" w:hAnsi="Arial" w:hint="default"/>
      </w:rPr>
    </w:lvl>
    <w:lvl w:ilvl="3" w:tplc="030AE914" w:tentative="1">
      <w:start w:val="1"/>
      <w:numFmt w:val="bullet"/>
      <w:lvlText w:val="•"/>
      <w:lvlJc w:val="left"/>
      <w:pPr>
        <w:tabs>
          <w:tab w:val="num" w:pos="2880"/>
        </w:tabs>
        <w:ind w:left="2880" w:hanging="360"/>
      </w:pPr>
      <w:rPr>
        <w:rFonts w:ascii="Arial" w:hAnsi="Arial" w:hint="default"/>
      </w:rPr>
    </w:lvl>
    <w:lvl w:ilvl="4" w:tplc="5D30612C" w:tentative="1">
      <w:start w:val="1"/>
      <w:numFmt w:val="bullet"/>
      <w:lvlText w:val="•"/>
      <w:lvlJc w:val="left"/>
      <w:pPr>
        <w:tabs>
          <w:tab w:val="num" w:pos="3600"/>
        </w:tabs>
        <w:ind w:left="3600" w:hanging="360"/>
      </w:pPr>
      <w:rPr>
        <w:rFonts w:ascii="Arial" w:hAnsi="Arial" w:hint="default"/>
      </w:rPr>
    </w:lvl>
    <w:lvl w:ilvl="5" w:tplc="465A7D86" w:tentative="1">
      <w:start w:val="1"/>
      <w:numFmt w:val="bullet"/>
      <w:lvlText w:val="•"/>
      <w:lvlJc w:val="left"/>
      <w:pPr>
        <w:tabs>
          <w:tab w:val="num" w:pos="4320"/>
        </w:tabs>
        <w:ind w:left="4320" w:hanging="360"/>
      </w:pPr>
      <w:rPr>
        <w:rFonts w:ascii="Arial" w:hAnsi="Arial" w:hint="default"/>
      </w:rPr>
    </w:lvl>
    <w:lvl w:ilvl="6" w:tplc="009C9A50" w:tentative="1">
      <w:start w:val="1"/>
      <w:numFmt w:val="bullet"/>
      <w:lvlText w:val="•"/>
      <w:lvlJc w:val="left"/>
      <w:pPr>
        <w:tabs>
          <w:tab w:val="num" w:pos="5040"/>
        </w:tabs>
        <w:ind w:left="5040" w:hanging="360"/>
      </w:pPr>
      <w:rPr>
        <w:rFonts w:ascii="Arial" w:hAnsi="Arial" w:hint="default"/>
      </w:rPr>
    </w:lvl>
    <w:lvl w:ilvl="7" w:tplc="5C6AE40A" w:tentative="1">
      <w:start w:val="1"/>
      <w:numFmt w:val="bullet"/>
      <w:lvlText w:val="•"/>
      <w:lvlJc w:val="left"/>
      <w:pPr>
        <w:tabs>
          <w:tab w:val="num" w:pos="5760"/>
        </w:tabs>
        <w:ind w:left="5760" w:hanging="360"/>
      </w:pPr>
      <w:rPr>
        <w:rFonts w:ascii="Arial" w:hAnsi="Arial" w:hint="default"/>
      </w:rPr>
    </w:lvl>
    <w:lvl w:ilvl="8" w:tplc="08F60C32" w:tentative="1">
      <w:start w:val="1"/>
      <w:numFmt w:val="bullet"/>
      <w:lvlText w:val="•"/>
      <w:lvlJc w:val="left"/>
      <w:pPr>
        <w:tabs>
          <w:tab w:val="num" w:pos="6480"/>
        </w:tabs>
        <w:ind w:left="6480" w:hanging="360"/>
      </w:pPr>
      <w:rPr>
        <w:rFonts w:ascii="Arial" w:hAnsi="Arial" w:hint="default"/>
      </w:rPr>
    </w:lvl>
  </w:abstractNum>
  <w:abstractNum w:abstractNumId="5">
    <w:nsid w:val="76A14E82"/>
    <w:multiLevelType w:val="hybridMultilevel"/>
    <w:tmpl w:val="50043A06"/>
    <w:lvl w:ilvl="0" w:tplc="5EDCBD10">
      <w:start w:val="1"/>
      <w:numFmt w:val="bullet"/>
      <w:lvlText w:val="•"/>
      <w:lvlJc w:val="left"/>
      <w:pPr>
        <w:tabs>
          <w:tab w:val="num" w:pos="720"/>
        </w:tabs>
        <w:ind w:left="720" w:hanging="360"/>
      </w:pPr>
      <w:rPr>
        <w:rFonts w:ascii="Arial" w:hAnsi="Arial" w:hint="default"/>
      </w:rPr>
    </w:lvl>
    <w:lvl w:ilvl="1" w:tplc="9278ADB4" w:tentative="1">
      <w:start w:val="1"/>
      <w:numFmt w:val="bullet"/>
      <w:lvlText w:val="•"/>
      <w:lvlJc w:val="left"/>
      <w:pPr>
        <w:tabs>
          <w:tab w:val="num" w:pos="1440"/>
        </w:tabs>
        <w:ind w:left="1440" w:hanging="360"/>
      </w:pPr>
      <w:rPr>
        <w:rFonts w:ascii="Arial" w:hAnsi="Arial" w:hint="default"/>
      </w:rPr>
    </w:lvl>
    <w:lvl w:ilvl="2" w:tplc="4922269E" w:tentative="1">
      <w:start w:val="1"/>
      <w:numFmt w:val="bullet"/>
      <w:lvlText w:val="•"/>
      <w:lvlJc w:val="left"/>
      <w:pPr>
        <w:tabs>
          <w:tab w:val="num" w:pos="2160"/>
        </w:tabs>
        <w:ind w:left="2160" w:hanging="360"/>
      </w:pPr>
      <w:rPr>
        <w:rFonts w:ascii="Arial" w:hAnsi="Arial" w:hint="default"/>
      </w:rPr>
    </w:lvl>
    <w:lvl w:ilvl="3" w:tplc="CCDEDBF2" w:tentative="1">
      <w:start w:val="1"/>
      <w:numFmt w:val="bullet"/>
      <w:lvlText w:val="•"/>
      <w:lvlJc w:val="left"/>
      <w:pPr>
        <w:tabs>
          <w:tab w:val="num" w:pos="2880"/>
        </w:tabs>
        <w:ind w:left="2880" w:hanging="360"/>
      </w:pPr>
      <w:rPr>
        <w:rFonts w:ascii="Arial" w:hAnsi="Arial" w:hint="default"/>
      </w:rPr>
    </w:lvl>
    <w:lvl w:ilvl="4" w:tplc="60D2F7A4" w:tentative="1">
      <w:start w:val="1"/>
      <w:numFmt w:val="bullet"/>
      <w:lvlText w:val="•"/>
      <w:lvlJc w:val="left"/>
      <w:pPr>
        <w:tabs>
          <w:tab w:val="num" w:pos="3600"/>
        </w:tabs>
        <w:ind w:left="3600" w:hanging="360"/>
      </w:pPr>
      <w:rPr>
        <w:rFonts w:ascii="Arial" w:hAnsi="Arial" w:hint="default"/>
      </w:rPr>
    </w:lvl>
    <w:lvl w:ilvl="5" w:tplc="0D8C0A92" w:tentative="1">
      <w:start w:val="1"/>
      <w:numFmt w:val="bullet"/>
      <w:lvlText w:val="•"/>
      <w:lvlJc w:val="left"/>
      <w:pPr>
        <w:tabs>
          <w:tab w:val="num" w:pos="4320"/>
        </w:tabs>
        <w:ind w:left="4320" w:hanging="360"/>
      </w:pPr>
      <w:rPr>
        <w:rFonts w:ascii="Arial" w:hAnsi="Arial" w:hint="default"/>
      </w:rPr>
    </w:lvl>
    <w:lvl w:ilvl="6" w:tplc="CF9A075E" w:tentative="1">
      <w:start w:val="1"/>
      <w:numFmt w:val="bullet"/>
      <w:lvlText w:val="•"/>
      <w:lvlJc w:val="left"/>
      <w:pPr>
        <w:tabs>
          <w:tab w:val="num" w:pos="5040"/>
        </w:tabs>
        <w:ind w:left="5040" w:hanging="360"/>
      </w:pPr>
      <w:rPr>
        <w:rFonts w:ascii="Arial" w:hAnsi="Arial" w:hint="default"/>
      </w:rPr>
    </w:lvl>
    <w:lvl w:ilvl="7" w:tplc="1B80867C" w:tentative="1">
      <w:start w:val="1"/>
      <w:numFmt w:val="bullet"/>
      <w:lvlText w:val="•"/>
      <w:lvlJc w:val="left"/>
      <w:pPr>
        <w:tabs>
          <w:tab w:val="num" w:pos="5760"/>
        </w:tabs>
        <w:ind w:left="5760" w:hanging="360"/>
      </w:pPr>
      <w:rPr>
        <w:rFonts w:ascii="Arial" w:hAnsi="Arial" w:hint="default"/>
      </w:rPr>
    </w:lvl>
    <w:lvl w:ilvl="8" w:tplc="B8AE9C00" w:tentative="1">
      <w:start w:val="1"/>
      <w:numFmt w:val="bullet"/>
      <w:lvlText w:val="•"/>
      <w:lvlJc w:val="left"/>
      <w:pPr>
        <w:tabs>
          <w:tab w:val="num" w:pos="6480"/>
        </w:tabs>
        <w:ind w:left="6480" w:hanging="360"/>
      </w:pPr>
      <w:rPr>
        <w:rFonts w:ascii="Arial" w:hAnsi="Arial" w:hint="default"/>
      </w:rPr>
    </w:lvl>
  </w:abstractNum>
  <w:abstractNum w:abstractNumId="6">
    <w:nsid w:val="7A224DBD"/>
    <w:multiLevelType w:val="hybridMultilevel"/>
    <w:tmpl w:val="3EF23F8A"/>
    <w:lvl w:ilvl="0" w:tplc="13A299C0">
      <w:start w:val="1"/>
      <w:numFmt w:val="bullet"/>
      <w:lvlText w:val="•"/>
      <w:lvlJc w:val="left"/>
      <w:pPr>
        <w:tabs>
          <w:tab w:val="num" w:pos="720"/>
        </w:tabs>
        <w:ind w:left="720" w:hanging="360"/>
      </w:pPr>
      <w:rPr>
        <w:rFonts w:ascii="Arial" w:hAnsi="Arial" w:hint="default"/>
      </w:rPr>
    </w:lvl>
    <w:lvl w:ilvl="1" w:tplc="D576B852" w:tentative="1">
      <w:start w:val="1"/>
      <w:numFmt w:val="bullet"/>
      <w:lvlText w:val="•"/>
      <w:lvlJc w:val="left"/>
      <w:pPr>
        <w:tabs>
          <w:tab w:val="num" w:pos="1440"/>
        </w:tabs>
        <w:ind w:left="1440" w:hanging="360"/>
      </w:pPr>
      <w:rPr>
        <w:rFonts w:ascii="Arial" w:hAnsi="Arial" w:hint="default"/>
      </w:rPr>
    </w:lvl>
    <w:lvl w:ilvl="2" w:tplc="AC3E3216" w:tentative="1">
      <w:start w:val="1"/>
      <w:numFmt w:val="bullet"/>
      <w:lvlText w:val="•"/>
      <w:lvlJc w:val="left"/>
      <w:pPr>
        <w:tabs>
          <w:tab w:val="num" w:pos="2160"/>
        </w:tabs>
        <w:ind w:left="2160" w:hanging="360"/>
      </w:pPr>
      <w:rPr>
        <w:rFonts w:ascii="Arial" w:hAnsi="Arial" w:hint="default"/>
      </w:rPr>
    </w:lvl>
    <w:lvl w:ilvl="3" w:tplc="C6147CEA" w:tentative="1">
      <w:start w:val="1"/>
      <w:numFmt w:val="bullet"/>
      <w:lvlText w:val="•"/>
      <w:lvlJc w:val="left"/>
      <w:pPr>
        <w:tabs>
          <w:tab w:val="num" w:pos="2880"/>
        </w:tabs>
        <w:ind w:left="2880" w:hanging="360"/>
      </w:pPr>
      <w:rPr>
        <w:rFonts w:ascii="Arial" w:hAnsi="Arial" w:hint="default"/>
      </w:rPr>
    </w:lvl>
    <w:lvl w:ilvl="4" w:tplc="AE3E096E" w:tentative="1">
      <w:start w:val="1"/>
      <w:numFmt w:val="bullet"/>
      <w:lvlText w:val="•"/>
      <w:lvlJc w:val="left"/>
      <w:pPr>
        <w:tabs>
          <w:tab w:val="num" w:pos="3600"/>
        </w:tabs>
        <w:ind w:left="3600" w:hanging="360"/>
      </w:pPr>
      <w:rPr>
        <w:rFonts w:ascii="Arial" w:hAnsi="Arial" w:hint="default"/>
      </w:rPr>
    </w:lvl>
    <w:lvl w:ilvl="5" w:tplc="44E8E130" w:tentative="1">
      <w:start w:val="1"/>
      <w:numFmt w:val="bullet"/>
      <w:lvlText w:val="•"/>
      <w:lvlJc w:val="left"/>
      <w:pPr>
        <w:tabs>
          <w:tab w:val="num" w:pos="4320"/>
        </w:tabs>
        <w:ind w:left="4320" w:hanging="360"/>
      </w:pPr>
      <w:rPr>
        <w:rFonts w:ascii="Arial" w:hAnsi="Arial" w:hint="default"/>
      </w:rPr>
    </w:lvl>
    <w:lvl w:ilvl="6" w:tplc="90220B62" w:tentative="1">
      <w:start w:val="1"/>
      <w:numFmt w:val="bullet"/>
      <w:lvlText w:val="•"/>
      <w:lvlJc w:val="left"/>
      <w:pPr>
        <w:tabs>
          <w:tab w:val="num" w:pos="5040"/>
        </w:tabs>
        <w:ind w:left="5040" w:hanging="360"/>
      </w:pPr>
      <w:rPr>
        <w:rFonts w:ascii="Arial" w:hAnsi="Arial" w:hint="default"/>
      </w:rPr>
    </w:lvl>
    <w:lvl w:ilvl="7" w:tplc="F84647CC" w:tentative="1">
      <w:start w:val="1"/>
      <w:numFmt w:val="bullet"/>
      <w:lvlText w:val="•"/>
      <w:lvlJc w:val="left"/>
      <w:pPr>
        <w:tabs>
          <w:tab w:val="num" w:pos="5760"/>
        </w:tabs>
        <w:ind w:left="5760" w:hanging="360"/>
      </w:pPr>
      <w:rPr>
        <w:rFonts w:ascii="Arial" w:hAnsi="Arial" w:hint="default"/>
      </w:rPr>
    </w:lvl>
    <w:lvl w:ilvl="8" w:tplc="D26E5CA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B1"/>
    <w:rsid w:val="00270BB1"/>
    <w:rsid w:val="0046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BB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0B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0B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BB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0B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0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6856">
      <w:bodyDiv w:val="1"/>
      <w:marLeft w:val="0"/>
      <w:marRight w:val="0"/>
      <w:marTop w:val="0"/>
      <w:marBottom w:val="0"/>
      <w:divBdr>
        <w:top w:val="none" w:sz="0" w:space="0" w:color="auto"/>
        <w:left w:val="none" w:sz="0" w:space="0" w:color="auto"/>
        <w:bottom w:val="none" w:sz="0" w:space="0" w:color="auto"/>
        <w:right w:val="none" w:sz="0" w:space="0" w:color="auto"/>
      </w:divBdr>
      <w:divsChild>
        <w:div w:id="967472353">
          <w:marLeft w:val="274"/>
          <w:marRight w:val="0"/>
          <w:marTop w:val="173"/>
          <w:marBottom w:val="0"/>
          <w:divBdr>
            <w:top w:val="none" w:sz="0" w:space="0" w:color="auto"/>
            <w:left w:val="none" w:sz="0" w:space="0" w:color="auto"/>
            <w:bottom w:val="none" w:sz="0" w:space="0" w:color="auto"/>
            <w:right w:val="none" w:sz="0" w:space="0" w:color="auto"/>
          </w:divBdr>
        </w:div>
        <w:div w:id="1994747602">
          <w:marLeft w:val="274"/>
          <w:marRight w:val="0"/>
          <w:marTop w:val="173"/>
          <w:marBottom w:val="0"/>
          <w:divBdr>
            <w:top w:val="none" w:sz="0" w:space="0" w:color="auto"/>
            <w:left w:val="none" w:sz="0" w:space="0" w:color="auto"/>
            <w:bottom w:val="none" w:sz="0" w:space="0" w:color="auto"/>
            <w:right w:val="none" w:sz="0" w:space="0" w:color="auto"/>
          </w:divBdr>
        </w:div>
      </w:divsChild>
    </w:div>
    <w:div w:id="546378216">
      <w:bodyDiv w:val="1"/>
      <w:marLeft w:val="0"/>
      <w:marRight w:val="0"/>
      <w:marTop w:val="0"/>
      <w:marBottom w:val="0"/>
      <w:divBdr>
        <w:top w:val="none" w:sz="0" w:space="0" w:color="auto"/>
        <w:left w:val="none" w:sz="0" w:space="0" w:color="auto"/>
        <w:bottom w:val="none" w:sz="0" w:space="0" w:color="auto"/>
        <w:right w:val="none" w:sz="0" w:space="0" w:color="auto"/>
      </w:divBdr>
      <w:divsChild>
        <w:div w:id="1055542692">
          <w:marLeft w:val="274"/>
          <w:marRight w:val="0"/>
          <w:marTop w:val="158"/>
          <w:marBottom w:val="0"/>
          <w:divBdr>
            <w:top w:val="none" w:sz="0" w:space="0" w:color="auto"/>
            <w:left w:val="none" w:sz="0" w:space="0" w:color="auto"/>
            <w:bottom w:val="none" w:sz="0" w:space="0" w:color="auto"/>
            <w:right w:val="none" w:sz="0" w:space="0" w:color="auto"/>
          </w:divBdr>
        </w:div>
        <w:div w:id="2013603059">
          <w:marLeft w:val="274"/>
          <w:marRight w:val="0"/>
          <w:marTop w:val="158"/>
          <w:marBottom w:val="0"/>
          <w:divBdr>
            <w:top w:val="none" w:sz="0" w:space="0" w:color="auto"/>
            <w:left w:val="none" w:sz="0" w:space="0" w:color="auto"/>
            <w:bottom w:val="none" w:sz="0" w:space="0" w:color="auto"/>
            <w:right w:val="none" w:sz="0" w:space="0" w:color="auto"/>
          </w:divBdr>
        </w:div>
        <w:div w:id="629243475">
          <w:marLeft w:val="274"/>
          <w:marRight w:val="0"/>
          <w:marTop w:val="158"/>
          <w:marBottom w:val="0"/>
          <w:divBdr>
            <w:top w:val="none" w:sz="0" w:space="0" w:color="auto"/>
            <w:left w:val="none" w:sz="0" w:space="0" w:color="auto"/>
            <w:bottom w:val="none" w:sz="0" w:space="0" w:color="auto"/>
            <w:right w:val="none" w:sz="0" w:space="0" w:color="auto"/>
          </w:divBdr>
        </w:div>
        <w:div w:id="221136875">
          <w:marLeft w:val="274"/>
          <w:marRight w:val="0"/>
          <w:marTop w:val="158"/>
          <w:marBottom w:val="0"/>
          <w:divBdr>
            <w:top w:val="none" w:sz="0" w:space="0" w:color="auto"/>
            <w:left w:val="none" w:sz="0" w:space="0" w:color="auto"/>
            <w:bottom w:val="none" w:sz="0" w:space="0" w:color="auto"/>
            <w:right w:val="none" w:sz="0" w:space="0" w:color="auto"/>
          </w:divBdr>
        </w:div>
      </w:divsChild>
    </w:div>
    <w:div w:id="1840458020">
      <w:bodyDiv w:val="1"/>
      <w:marLeft w:val="0"/>
      <w:marRight w:val="0"/>
      <w:marTop w:val="0"/>
      <w:marBottom w:val="0"/>
      <w:divBdr>
        <w:top w:val="none" w:sz="0" w:space="0" w:color="auto"/>
        <w:left w:val="none" w:sz="0" w:space="0" w:color="auto"/>
        <w:bottom w:val="none" w:sz="0" w:space="0" w:color="auto"/>
        <w:right w:val="none" w:sz="0" w:space="0" w:color="auto"/>
      </w:divBdr>
      <w:divsChild>
        <w:div w:id="22705516">
          <w:marLeft w:val="274"/>
          <w:marRight w:val="0"/>
          <w:marTop w:val="151"/>
          <w:marBottom w:val="0"/>
          <w:divBdr>
            <w:top w:val="none" w:sz="0" w:space="0" w:color="auto"/>
            <w:left w:val="none" w:sz="0" w:space="0" w:color="auto"/>
            <w:bottom w:val="none" w:sz="0" w:space="0" w:color="auto"/>
            <w:right w:val="none" w:sz="0" w:space="0" w:color="auto"/>
          </w:divBdr>
        </w:div>
        <w:div w:id="707072471">
          <w:marLeft w:val="274"/>
          <w:marRight w:val="0"/>
          <w:marTop w:val="151"/>
          <w:marBottom w:val="0"/>
          <w:divBdr>
            <w:top w:val="none" w:sz="0" w:space="0" w:color="auto"/>
            <w:left w:val="none" w:sz="0" w:space="0" w:color="auto"/>
            <w:bottom w:val="none" w:sz="0" w:space="0" w:color="auto"/>
            <w:right w:val="none" w:sz="0" w:space="0" w:color="auto"/>
          </w:divBdr>
        </w:div>
        <w:div w:id="546836802">
          <w:marLeft w:val="274"/>
          <w:marRight w:val="0"/>
          <w:marTop w:val="151"/>
          <w:marBottom w:val="0"/>
          <w:divBdr>
            <w:top w:val="none" w:sz="0" w:space="0" w:color="auto"/>
            <w:left w:val="none" w:sz="0" w:space="0" w:color="auto"/>
            <w:bottom w:val="none" w:sz="0" w:space="0" w:color="auto"/>
            <w:right w:val="none" w:sz="0" w:space="0" w:color="auto"/>
          </w:divBdr>
        </w:div>
        <w:div w:id="1801454125">
          <w:marLeft w:val="274"/>
          <w:marRight w:val="0"/>
          <w:marTop w:val="151"/>
          <w:marBottom w:val="0"/>
          <w:divBdr>
            <w:top w:val="none" w:sz="0" w:space="0" w:color="auto"/>
            <w:left w:val="none" w:sz="0" w:space="0" w:color="auto"/>
            <w:bottom w:val="none" w:sz="0" w:space="0" w:color="auto"/>
            <w:right w:val="none" w:sz="0" w:space="0" w:color="auto"/>
          </w:divBdr>
        </w:div>
        <w:div w:id="739448359">
          <w:marLeft w:val="274"/>
          <w:marRight w:val="0"/>
          <w:marTop w:val="151"/>
          <w:marBottom w:val="0"/>
          <w:divBdr>
            <w:top w:val="none" w:sz="0" w:space="0" w:color="auto"/>
            <w:left w:val="none" w:sz="0" w:space="0" w:color="auto"/>
            <w:bottom w:val="none" w:sz="0" w:space="0" w:color="auto"/>
            <w:right w:val="none" w:sz="0" w:space="0" w:color="auto"/>
          </w:divBdr>
        </w:div>
      </w:divsChild>
    </w:div>
    <w:div w:id="1939563376">
      <w:bodyDiv w:val="1"/>
      <w:marLeft w:val="0"/>
      <w:marRight w:val="0"/>
      <w:marTop w:val="0"/>
      <w:marBottom w:val="0"/>
      <w:divBdr>
        <w:top w:val="none" w:sz="0" w:space="0" w:color="auto"/>
        <w:left w:val="none" w:sz="0" w:space="0" w:color="auto"/>
        <w:bottom w:val="none" w:sz="0" w:space="0" w:color="auto"/>
        <w:right w:val="none" w:sz="0" w:space="0" w:color="auto"/>
      </w:divBdr>
      <w:divsChild>
        <w:div w:id="758209237">
          <w:marLeft w:val="274"/>
          <w:marRight w:val="0"/>
          <w:marTop w:val="187"/>
          <w:marBottom w:val="0"/>
          <w:divBdr>
            <w:top w:val="none" w:sz="0" w:space="0" w:color="auto"/>
            <w:left w:val="none" w:sz="0" w:space="0" w:color="auto"/>
            <w:bottom w:val="none" w:sz="0" w:space="0" w:color="auto"/>
            <w:right w:val="none" w:sz="0" w:space="0" w:color="auto"/>
          </w:divBdr>
        </w:div>
        <w:div w:id="1655838584">
          <w:marLeft w:val="274"/>
          <w:marRight w:val="0"/>
          <w:marTop w:val="18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and.org/pubs/monographs/MG7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sertwater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Oman, Tamra J</dc:creator>
  <cp:lastModifiedBy>Oman, Tamra J</cp:lastModifiedBy>
  <cp:revision>1</cp:revision>
  <dcterms:created xsi:type="dcterms:W3CDTF">2019-02-19T17:49:00Z</dcterms:created>
  <dcterms:modified xsi:type="dcterms:W3CDTF">2019-02-19T17:52:00Z</dcterms:modified>
</cp:coreProperties>
</file>