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Target population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Look at policies and procedures that contribute to access barriers?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Is there written eligibility criterion that includes eligible charges that are shared with all stakeholders?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Does the team vote on eligibility?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Is criminal history a disqualifier?</w:t>
      </w:r>
    </w:p>
    <w:tbl>
      <w:tblPr>
        <w:tblStyle w:val="Table1"/>
        <w:tblW w:w="465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4651"/>
        <w:tblGridChange w:id="0">
          <w:tblGrid>
            <w:gridCol w:w="4651"/>
          </w:tblGrid>
        </w:tblGridChange>
      </w:tblGrid>
      <w:tr>
        <w:trPr>
          <w:cantSplit w:val="0"/>
          <w:trHeight w:val="1295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Decision Point(s):</w:t>
            </w:r>
          </w:p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Does your program use an RNR tool pre-plea to identify high-risk/high needs participants?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Equity and Inclusion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What is the role of the gatekeeper when determining eligibility?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Review data to ensure incentives and sanctions, and therapeutic adjustments are equitable?</w:t>
      </w:r>
    </w:p>
    <w:tbl>
      <w:tblPr>
        <w:tblStyle w:val="Table2"/>
        <w:tblW w:w="434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4341"/>
        <w:tblGridChange w:id="0">
          <w:tblGrid>
            <w:gridCol w:w="4341"/>
          </w:tblGrid>
        </w:tblGridChange>
      </w:tblGrid>
      <w:tr>
        <w:trPr>
          <w:cantSplit w:val="0"/>
          <w:trHeight w:val="1610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Decision Point(s):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Is equity and inclusion included in the statewide standards, certification, or fidelity review process?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Role of the Judge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Is your court monitoring the judge to see if the range of incentives is a 4 to 1 ratio equitably for all participants?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Is your judge participating in voting during the staffing?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Is your judge attending mandatory judicial education course on RED and cultural humility?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Does your court have a benchcard that provides a language guide for the judge with terms and sayings that have racial implications?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Does your court offer motivation interviewing training for the judge?</w:t>
      </w:r>
    </w:p>
    <w:tbl>
      <w:tblPr>
        <w:tblStyle w:val="Table3"/>
        <w:tblW w:w="48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4871"/>
        <w:tblGridChange w:id="0">
          <w:tblGrid>
            <w:gridCol w:w="4871"/>
          </w:tblGrid>
        </w:tblGridChange>
      </w:tblGrid>
      <w:tr>
        <w:trPr>
          <w:cantSplit w:val="0"/>
          <w:trHeight w:val="861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Decision Point(s):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 Incentives and Sanctions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Is your court reconsidering the use of jail sanctions?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Does your court have a written phase advancement goals for review with the participants?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Does your court have an equitable incentive and sanctions matrix?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Does your court have all documents in participant’s native language or access to interpreters?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Does your court track incentives and sanctions as performance measures, specifically jail sanctions, incentives and sanctions by race and included in the fidelity review process? 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503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5035"/>
        <w:tblGridChange w:id="0">
          <w:tblGrid>
            <w:gridCol w:w="5035"/>
          </w:tblGrid>
        </w:tblGridChange>
      </w:tblGrid>
      <w:tr>
        <w:trPr>
          <w:cantSplit w:val="0"/>
          <w:trHeight w:val="797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Decision Point(s):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 Substance Use Disorder Treatment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Does your program offer a continuum of care that is culturally appropriate, and that includes peer supportive groups?​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Are clients actively engaged in the goal setting process at every phase of the program​?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 regularly scheduled meeting with your treatment provider to discuss staff credentialing and training happen?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49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4945"/>
        <w:tblGridChange w:id="0">
          <w:tblGrid>
            <w:gridCol w:w="4945"/>
          </w:tblGrid>
        </w:tblGridChange>
      </w:tblGrid>
      <w:tr>
        <w:trPr>
          <w:cantSplit w:val="0"/>
          <w:trHeight w:val="797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Decision Point(s):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6. Complementary Services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Does your program have supportive services are culturally safe and responsive and trauma informed​?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Are the unique barriers that come with being black, brown or marginalized​ considered when connecting to services?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Are participants history with social services agencies, educational institutions, medical instructions, prior treatment agencies, the criminal legal institution, and police or law enforcement agencies considered when determining case plan?</w:t>
      </w:r>
    </w:p>
    <w:tbl>
      <w:tblPr>
        <w:tblStyle w:val="Table6"/>
        <w:tblW w:w="48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4886"/>
        <w:tblGridChange w:id="0">
          <w:tblGrid>
            <w:gridCol w:w="4886"/>
          </w:tblGrid>
        </w:tblGridChange>
      </w:tblGrid>
      <w:tr>
        <w:trPr>
          <w:cantSplit w:val="0"/>
          <w:trHeight w:val="1610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Decision Point(s):</w:t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7. Drug and Alcohol Testing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Are all screens for all clients truly random and protocols are followed equitably​?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Does your program ensure all clients are provided a review, with a confirmed understanding, and acceptance of testing protocols in writing at a third or fourth grade reading level​?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Are clients who contest a drug screen provided access to counsel and a hearing?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458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4581"/>
        <w:tblGridChange w:id="0">
          <w:tblGrid>
            <w:gridCol w:w="4581"/>
          </w:tblGrid>
        </w:tblGridChange>
      </w:tblGrid>
      <w:tr>
        <w:trPr>
          <w:cantSplit w:val="0"/>
          <w:trHeight w:val="1820" w:hRule="atLeast"/>
          <w:tblHeader w:val="0"/>
        </w:trPr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Decision Point(s):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8. Multidisciplinary Team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What are your team’s recruitment and hiring practices? Do agencies have training on creating equitable and inclusive job postings and recruiting a diverse range of people?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 new team members receive formal training on racial equity and cultural competency?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 all team members receive ongoing training on racial equity and cultural humility? Is this a requirement of certification or re-certification?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Are team dynamics and engagement monitored; who speaks the most at staffing meetings, and how might that relate to racial and ethnic disparities?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Is there a procedure or mechanism in staffing, if someone believes a sanction is being unfairly imposed? Is it a supportive environment where team members are free to speak up to identify racial bias when they see it?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Has your team had meetings to develop shared values to demonstrate commitment to addressing RED? </w:t>
      </w:r>
    </w:p>
    <w:tbl>
      <w:tblPr>
        <w:tblStyle w:val="Table8"/>
        <w:tblW w:w="48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4886"/>
        <w:tblGridChange w:id="0">
          <w:tblGrid>
            <w:gridCol w:w="4886"/>
          </w:tblGrid>
        </w:tblGridChange>
      </w:tblGrid>
      <w:tr>
        <w:trPr>
          <w:cantSplit w:val="0"/>
          <w:trHeight w:val="1610" w:hRule="atLeast"/>
          <w:tblHeader w:val="0"/>
        </w:trPr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Decision Point(s):</w:t>
            </w:r>
          </w:p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9. Census and Caseloads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Are your program case managers overloaded? ​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Is your court’s census low, do you have access to the jail population data and/or the census information of other treatment courts in the county?  ​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Does your program ensure case managers review treatment plans/phase advancement planning with client input?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 case managers have regular equity and client engagement training?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48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4886"/>
        <w:tblGridChange w:id="0">
          <w:tblGrid>
            <w:gridCol w:w="4886"/>
          </w:tblGrid>
        </w:tblGridChange>
      </w:tblGrid>
      <w:tr>
        <w:trPr>
          <w:cantSplit w:val="0"/>
          <w:trHeight w:val="1610" w:hRule="atLeast"/>
          <w:tblHeader w:val="0"/>
        </w:trPr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Decision Point(s):</w:t>
            </w:r>
          </w:p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10. Monitoring and Evaluation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Are programs collection demographic information​?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Does your program review and evaluate termination rates based on equity​? 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Are local jurisdictions aware of the data metrics they should capture to identify disparate outcomes including arrest, referral, and graduation rates?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How often are courts looking at data to make practice improvement?​</w:t>
      </w:r>
    </w:p>
    <w:tbl>
      <w:tblPr>
        <w:tblStyle w:val="Table10"/>
        <w:tblW w:w="466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4661"/>
        <w:tblGridChange w:id="0">
          <w:tblGrid>
            <w:gridCol w:w="4661"/>
          </w:tblGrid>
        </w:tblGridChange>
      </w:tblGrid>
      <w:tr>
        <w:trPr>
          <w:cantSplit w:val="0"/>
          <w:trHeight w:val="1610" w:hRule="atLeast"/>
          <w:tblHeader w:val="0"/>
        </w:trPr>
        <w:tc>
          <w:tcPr/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Decision Point(s):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720" w:top="720" w:left="720" w:right="720" w:header="720" w:footer="720"/>
      <w:pgNumType w:start="1"/>
      <w:cols w:equalWidth="0" w:num="2">
        <w:col w:space="720" w:w="5040"/>
        <w:col w:space="0" w:w="50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s">
          <w:drawing>
            <wp:anchor allowOverlap="1" behindDoc="0" distB="0" distT="0" distL="118745" distR="118745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page">
                <wp:posOffset>452119</wp:posOffset>
              </wp:positionV>
              <wp:extent cx="5950039" cy="270457"/>
              <wp:effectExtent b="7620" l="0" r="0" t="0"/>
              <wp:wrapSquare wrapText="bothSides" distB="0" distT="0" distL="118745" distR="118745"/>
              <wp:docPr id="1" nam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 w:val="1"/>
                              <w:color w:val="ffffff" w:themeColor="background1"/>
                            </w:rPr>
                            <w:alias w:val="Title"/>
                            <w:dataBinding w:prefixMappings="xmlns:ns0='http://purl.org/dc/elements/1.1/' xmlns:ns1='http://schemas.openxmlformats.org/package/2006/metadata/core-properties' " w:storeItemID="{6C3C8BC8-F283-45AE-878A-BAB7291924A1}" w:xpath="/ns1:coreProperties[1]/ns0:title[1]"/>
                            <w:id w:val="1189017394"/>
                            <w:tag w:val=""/>
                            <w:text/>
                          </w:sdtPr>
                          <w:sdtEndPr/>
                          <w:sdtContent>
                            <w:p w:rsidR="006B2547" w:rsidDel="00000000" w:rsidP="00000000" w:rsidRDefault="00B45409" w:rsidRPr="00000000" w14:paraId="24716DE8" w14:textId="1777FEA8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 w:val="1"/>
                                  <w:color w:val="ffffff" w:themeColor="background1"/>
                                </w:rPr>
                              </w:pPr>
                              <w:r w:rsidDel="00000000" w:rsidR="00000000" w:rsidRPr="00000000">
                                <w:rPr>
                                  <w:caps w:val="1"/>
                                  <w:color w:val="ffffff" w:themeColor="background1"/>
                                </w:rPr>
                                <w:t>Decision points exercise</w:t>
                              </w:r>
                            </w:p>
                          </w:sdtContent>
                        </w:sdt>
                      </w:txbxContent>
                    </wps:txbx>
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8745" distR="118745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page">
                <wp:posOffset>452119</wp:posOffset>
              </wp:positionV>
              <wp:extent cx="5950039" cy="278077"/>
              <wp:effectExtent b="0" l="0" r="0" t="0"/>
              <wp:wrapSquare wrapText="bothSides" distB="0" distT="0" distL="118745" distR="118745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50039" cy="27807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36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o"/>
      <w:lvlJc w:val="left"/>
      <w:pPr>
        <w:ind w:left="36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o"/>
      <w:lvlJc w:val="left"/>
      <w:pPr>
        <w:ind w:left="36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o"/>
      <w:lvlJc w:val="left"/>
      <w:pPr>
        <w:ind w:left="36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o"/>
      <w:lvlJc w:val="left"/>
      <w:pPr>
        <w:ind w:left="360" w:hanging="360"/>
      </w:pPr>
      <w:rPr>
        <w:rFonts w:ascii="Courier New" w:cs="Courier New" w:eastAsia="Courier New" w:hAnsi="Courier New"/>
      </w:rPr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800" w:hanging="36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decimal"/>
      <w:lvlText w:val="%5."/>
      <w:lvlJc w:val="left"/>
      <w:pPr>
        <w:ind w:left="3240" w:hanging="360"/>
      </w:pPr>
      <w:rPr/>
    </w:lvl>
    <w:lvl w:ilvl="5">
      <w:start w:val="1"/>
      <w:numFmt w:val="decimal"/>
      <w:lvlText w:val="%6."/>
      <w:lvlJc w:val="left"/>
      <w:pPr>
        <w:ind w:left="3960" w:hanging="36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decimal"/>
      <w:lvlText w:val="%8."/>
      <w:lvlJc w:val="left"/>
      <w:pPr>
        <w:ind w:left="5400" w:hanging="360"/>
      </w:pPr>
      <w:rPr/>
    </w:lvl>
    <w:lvl w:ilvl="8">
      <w:start w:val="1"/>
      <w:numFmt w:val="decimal"/>
      <w:lvlText w:val="%9."/>
      <w:lvlJc w:val="left"/>
      <w:pPr>
        <w:ind w:left="6120" w:hanging="360"/>
      </w:pPr>
      <w:rPr/>
    </w:lvl>
  </w:abstractNum>
  <w:abstractNum w:abstractNumId="7">
    <w:lvl w:ilvl="0">
      <w:start w:val="1"/>
      <w:numFmt w:val="bullet"/>
      <w:lvlText w:val="o"/>
      <w:lvlJc w:val="left"/>
      <w:pPr>
        <w:ind w:left="360" w:hanging="360"/>
      </w:pPr>
      <w:rPr>
        <w:rFonts w:ascii="Courier New" w:cs="Courier New" w:eastAsia="Courier New" w:hAnsi="Courier New"/>
      </w:rPr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800" w:hanging="36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decimal"/>
      <w:lvlText w:val="%5."/>
      <w:lvlJc w:val="left"/>
      <w:pPr>
        <w:ind w:left="3240" w:hanging="360"/>
      </w:pPr>
      <w:rPr/>
    </w:lvl>
    <w:lvl w:ilvl="5">
      <w:start w:val="1"/>
      <w:numFmt w:val="decimal"/>
      <w:lvlText w:val="%6."/>
      <w:lvlJc w:val="left"/>
      <w:pPr>
        <w:ind w:left="3960" w:hanging="36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decimal"/>
      <w:lvlText w:val="%8."/>
      <w:lvlJc w:val="left"/>
      <w:pPr>
        <w:ind w:left="5400" w:hanging="360"/>
      </w:pPr>
      <w:rPr/>
    </w:lvl>
    <w:lvl w:ilvl="8">
      <w:start w:val="1"/>
      <w:numFmt w:val="decimal"/>
      <w:lvlText w:val="%9."/>
      <w:lvlJc w:val="left"/>
      <w:pPr>
        <w:ind w:left="6120" w:hanging="360"/>
      </w:pPr>
      <w:rPr/>
    </w:lvl>
  </w:abstractNum>
  <w:abstractNum w:abstractNumId="8">
    <w:lvl w:ilvl="0">
      <w:start w:val="1"/>
      <w:numFmt w:val="bullet"/>
      <w:lvlText w:val="o"/>
      <w:lvlJc w:val="left"/>
      <w:pPr>
        <w:ind w:left="36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o"/>
      <w:lvlJc w:val="left"/>
      <w:pPr>
        <w:ind w:left="360" w:hanging="360"/>
      </w:pPr>
      <w:rPr>
        <w:rFonts w:ascii="Courier New" w:cs="Courier New" w:eastAsia="Courier New" w:hAnsi="Courier New"/>
      </w:rPr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800" w:hanging="36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decimal"/>
      <w:lvlText w:val="%5."/>
      <w:lvlJc w:val="left"/>
      <w:pPr>
        <w:ind w:left="3240" w:hanging="360"/>
      </w:pPr>
      <w:rPr/>
    </w:lvl>
    <w:lvl w:ilvl="5">
      <w:start w:val="1"/>
      <w:numFmt w:val="decimal"/>
      <w:lvlText w:val="%6."/>
      <w:lvlJc w:val="left"/>
      <w:pPr>
        <w:ind w:left="3960" w:hanging="36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decimal"/>
      <w:lvlText w:val="%8."/>
      <w:lvlJc w:val="left"/>
      <w:pPr>
        <w:ind w:left="5400" w:hanging="360"/>
      </w:pPr>
      <w:rPr/>
    </w:lvl>
    <w:lvl w:ilvl="8">
      <w:start w:val="1"/>
      <w:numFmt w:val="decimal"/>
      <w:lvlText w:val="%9."/>
      <w:lvlJc w:val="left"/>
      <w:pPr>
        <w:ind w:left="6120" w:hanging="360"/>
      </w:pPr>
      <w:rPr/>
    </w:lvl>
  </w:abstractNum>
  <w:abstractNum w:abstractNumId="10">
    <w:lvl w:ilvl="0">
      <w:start w:val="1"/>
      <w:numFmt w:val="bullet"/>
      <w:lvlText w:val="o"/>
      <w:lvlJc w:val="left"/>
      <w:pPr>
        <w:ind w:left="360" w:hanging="360"/>
      </w:pPr>
      <w:rPr>
        <w:rFonts w:ascii="Courier New" w:cs="Courier New" w:eastAsia="Courier New" w:hAnsi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