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67" w:rsidRDefault="00E02A67" w:rsidP="00E02A67">
      <w:pPr>
        <w:jc w:val="center"/>
      </w:pPr>
      <w:r>
        <w:t>Resiliency Strategies Presentation</w:t>
      </w:r>
    </w:p>
    <w:p w:rsidR="00E02A67" w:rsidRDefault="00E02A67" w:rsidP="00E02A67"/>
    <w:p w:rsidR="00EE0186" w:rsidRPr="00EE0186" w:rsidRDefault="00EE0186" w:rsidP="00E02A67">
      <w:pPr>
        <w:rPr>
          <w:b/>
        </w:rPr>
      </w:pPr>
      <w:r w:rsidRPr="00EE0186">
        <w:rPr>
          <w:b/>
        </w:rPr>
        <w:t>Summary</w:t>
      </w:r>
    </w:p>
    <w:p w:rsidR="00E02A67" w:rsidRDefault="00EE0186" w:rsidP="00E02A67">
      <w:r>
        <w:t xml:space="preserve">Resiliency in recovery is a core skill that is embedded in the treatment that is often provided to our program participants.  Resilience affects not just our participants, but also ourselves and fellow team members.  </w:t>
      </w:r>
      <w:r w:rsidR="00E02A67">
        <w:t>The COVID-19 pandemic yielded a shared opportunity that every human being experienced</w:t>
      </w:r>
      <w:r>
        <w:t>, which tested our ability to implement resilience in our lives</w:t>
      </w:r>
      <w:r w:rsidR="00E02A67">
        <w:t>.  As a result, many helping professionals experienced negative setba</w:t>
      </w:r>
      <w:r>
        <w:t xml:space="preserve">cks, traumatic experiences, as well as an overall challenge with navigating through work and life issues.  This presentation is designed to help identify those issues that are associated with trauma, or traumatic events, as well as list and develop some resiliency strategies for success.  Today, we will explore ways to not only help your clients build resiliency skills, but also address ways the helping professional, or team member, can maintain mental and physical wellness despite any personal or professional setbacks.  As a result, you will be able to not only repair or strengthen your ability to bounce back, but also be supportive to your participants and help model said behaviors.  </w:t>
      </w:r>
    </w:p>
    <w:p w:rsidR="00E02A67" w:rsidRPr="00EE0186" w:rsidRDefault="00E02A67" w:rsidP="00E02A67">
      <w:pPr>
        <w:rPr>
          <w:b/>
        </w:rPr>
      </w:pPr>
    </w:p>
    <w:p w:rsidR="00EE0186" w:rsidRPr="00EE0186" w:rsidRDefault="00EE0186" w:rsidP="00E02A67">
      <w:pPr>
        <w:rPr>
          <w:b/>
        </w:rPr>
      </w:pPr>
      <w:r w:rsidRPr="00EE0186">
        <w:rPr>
          <w:b/>
        </w:rPr>
        <w:t>Learning Objectives</w:t>
      </w:r>
    </w:p>
    <w:p w:rsidR="00EE0186" w:rsidRDefault="00324467" w:rsidP="00EE0186">
      <w:pPr>
        <w:pStyle w:val="ListParagraph"/>
        <w:numPr>
          <w:ilvl w:val="0"/>
          <w:numId w:val="2"/>
        </w:numPr>
      </w:pPr>
      <w:r w:rsidRPr="00E02A67">
        <w:t>Identify basis or “ca</w:t>
      </w:r>
      <w:r w:rsidR="00EE0186">
        <w:t>use” of the need for resilience</w:t>
      </w:r>
    </w:p>
    <w:p w:rsidR="00EE0186" w:rsidRDefault="00483B54" w:rsidP="00EE0186">
      <w:pPr>
        <w:pStyle w:val="ListParagraph"/>
        <w:numPr>
          <w:ilvl w:val="0"/>
          <w:numId w:val="2"/>
        </w:numPr>
      </w:pPr>
      <w:r>
        <w:t>Recognize</w:t>
      </w:r>
      <w:r w:rsidR="00324467" w:rsidRPr="00E02A67">
        <w:t xml:space="preserve"> the signs and symptoms of </w:t>
      </w:r>
      <w:r w:rsidR="006C2155">
        <w:t xml:space="preserve">vicarious </w:t>
      </w:r>
      <w:r w:rsidR="00324467" w:rsidRPr="00E02A67">
        <w:t>trauma</w:t>
      </w:r>
    </w:p>
    <w:p w:rsidR="00483B54" w:rsidRDefault="00483B54" w:rsidP="00EE0186">
      <w:pPr>
        <w:pStyle w:val="ListParagraph"/>
        <w:numPr>
          <w:ilvl w:val="0"/>
          <w:numId w:val="2"/>
        </w:numPr>
      </w:pPr>
      <w:r>
        <w:t>List screening and assessment tools that address trauma and resilience</w:t>
      </w:r>
    </w:p>
    <w:p w:rsidR="00000000" w:rsidRDefault="00324467" w:rsidP="00EE0186">
      <w:pPr>
        <w:pStyle w:val="ListParagraph"/>
        <w:numPr>
          <w:ilvl w:val="0"/>
          <w:numId w:val="2"/>
        </w:numPr>
      </w:pPr>
      <w:r w:rsidRPr="00E02A67">
        <w:t>Develop strategies/coping skills to b</w:t>
      </w:r>
      <w:r w:rsidRPr="00E02A67">
        <w:t>uild resilience</w:t>
      </w:r>
    </w:p>
    <w:p w:rsidR="00EE0186" w:rsidRDefault="00EE0186" w:rsidP="00EE0186"/>
    <w:p w:rsidR="00EE0186" w:rsidRDefault="00EE0186" w:rsidP="00EE0186">
      <w:r w:rsidRPr="00EE0186">
        <w:rPr>
          <w:b/>
        </w:rPr>
        <w:t>Post Quiz</w:t>
      </w:r>
    </w:p>
    <w:p w:rsidR="00EE0186" w:rsidRDefault="00766410" w:rsidP="00766410">
      <w:pPr>
        <w:pStyle w:val="ListParagraph"/>
        <w:numPr>
          <w:ilvl w:val="0"/>
          <w:numId w:val="3"/>
        </w:numPr>
      </w:pPr>
      <w:r>
        <w:t>Which of the following is considered a symptom of burnout?</w:t>
      </w:r>
      <w:r w:rsidR="005F1696">
        <w:t xml:space="preserve">  D</w:t>
      </w:r>
    </w:p>
    <w:p w:rsidR="00766410" w:rsidRDefault="00766410" w:rsidP="00766410">
      <w:pPr>
        <w:pStyle w:val="ListParagraph"/>
        <w:numPr>
          <w:ilvl w:val="0"/>
          <w:numId w:val="4"/>
        </w:numPr>
      </w:pPr>
      <w:r>
        <w:t>Compassion fatigue</w:t>
      </w:r>
    </w:p>
    <w:p w:rsidR="00766410" w:rsidRDefault="00766410" w:rsidP="00766410">
      <w:pPr>
        <w:pStyle w:val="ListParagraph"/>
        <w:numPr>
          <w:ilvl w:val="0"/>
          <w:numId w:val="4"/>
        </w:numPr>
      </w:pPr>
      <w:r>
        <w:t>Avoidance</w:t>
      </w:r>
    </w:p>
    <w:p w:rsidR="00766410" w:rsidRDefault="00766410" w:rsidP="00766410">
      <w:pPr>
        <w:pStyle w:val="ListParagraph"/>
        <w:numPr>
          <w:ilvl w:val="0"/>
          <w:numId w:val="4"/>
        </w:numPr>
      </w:pPr>
      <w:r>
        <w:t>Withdrawal</w:t>
      </w:r>
    </w:p>
    <w:p w:rsidR="00766410" w:rsidRDefault="00766410" w:rsidP="00766410">
      <w:pPr>
        <w:pStyle w:val="ListParagraph"/>
        <w:numPr>
          <w:ilvl w:val="0"/>
          <w:numId w:val="4"/>
        </w:numPr>
      </w:pPr>
      <w:r>
        <w:t>All of the above</w:t>
      </w:r>
    </w:p>
    <w:p w:rsidR="00766410" w:rsidRDefault="00766410" w:rsidP="00766410">
      <w:pPr>
        <w:pStyle w:val="ListParagraph"/>
        <w:ind w:left="1800"/>
      </w:pPr>
    </w:p>
    <w:p w:rsidR="00766410" w:rsidRDefault="00766410" w:rsidP="00766410">
      <w:pPr>
        <w:pStyle w:val="ListParagraph"/>
        <w:numPr>
          <w:ilvl w:val="0"/>
          <w:numId w:val="3"/>
        </w:numPr>
      </w:pPr>
      <w:r>
        <w:t>True/False?  Countertransference is a symptom of vicarious trauma.  TRUE</w:t>
      </w:r>
    </w:p>
    <w:p w:rsidR="00766410" w:rsidRDefault="00766410" w:rsidP="00766410">
      <w:pPr>
        <w:pStyle w:val="ListParagraph"/>
      </w:pPr>
    </w:p>
    <w:p w:rsidR="00766410" w:rsidRDefault="00436FCE" w:rsidP="00766410">
      <w:pPr>
        <w:pStyle w:val="ListParagraph"/>
        <w:numPr>
          <w:ilvl w:val="0"/>
          <w:numId w:val="3"/>
        </w:numPr>
      </w:pPr>
      <w:r>
        <w:t>True/False?  Court team professionals do not suffer from poor resiliency and do not need to develop healthy strategies to cope with situations.  FALSE</w:t>
      </w:r>
    </w:p>
    <w:p w:rsidR="00436FCE" w:rsidRDefault="00436FCE" w:rsidP="00436FCE">
      <w:pPr>
        <w:pStyle w:val="ListParagraph"/>
      </w:pPr>
    </w:p>
    <w:p w:rsidR="005F1696" w:rsidRDefault="005F1696" w:rsidP="005F1696">
      <w:pPr>
        <w:pStyle w:val="ListParagraph"/>
        <w:numPr>
          <w:ilvl w:val="0"/>
          <w:numId w:val="3"/>
        </w:numPr>
      </w:pPr>
      <w:r>
        <w:t>Which of the following is NOT considered a traumatic event?  C</w:t>
      </w:r>
    </w:p>
    <w:p w:rsidR="005F1696" w:rsidRDefault="005F1696" w:rsidP="005F1696">
      <w:pPr>
        <w:pStyle w:val="ListParagraph"/>
        <w:numPr>
          <w:ilvl w:val="1"/>
          <w:numId w:val="3"/>
        </w:numPr>
      </w:pPr>
      <w:r>
        <w:t>COVID-19 pandemic</w:t>
      </w:r>
    </w:p>
    <w:p w:rsidR="005F1696" w:rsidRDefault="005F1696" w:rsidP="005F1696">
      <w:pPr>
        <w:pStyle w:val="ListParagraph"/>
        <w:numPr>
          <w:ilvl w:val="1"/>
          <w:numId w:val="3"/>
        </w:numPr>
      </w:pPr>
      <w:r>
        <w:t>Natural disaster</w:t>
      </w:r>
    </w:p>
    <w:p w:rsidR="005F1696" w:rsidRDefault="005F1696" w:rsidP="005F1696">
      <w:pPr>
        <w:pStyle w:val="ListParagraph"/>
        <w:numPr>
          <w:ilvl w:val="1"/>
          <w:numId w:val="3"/>
        </w:numPr>
      </w:pPr>
      <w:r>
        <w:t>Birthday party</w:t>
      </w:r>
    </w:p>
    <w:p w:rsidR="005F1696" w:rsidRDefault="005F1696" w:rsidP="005F1696">
      <w:pPr>
        <w:pStyle w:val="ListParagraph"/>
        <w:numPr>
          <w:ilvl w:val="1"/>
          <w:numId w:val="3"/>
        </w:numPr>
      </w:pPr>
      <w:r>
        <w:t>Domestic violence</w:t>
      </w:r>
    </w:p>
    <w:p w:rsidR="00871BFF" w:rsidRDefault="00871BFF" w:rsidP="00871BFF">
      <w:pPr>
        <w:pStyle w:val="ListParagraph"/>
        <w:ind w:left="1440"/>
      </w:pPr>
    </w:p>
    <w:p w:rsidR="00871BFF" w:rsidRDefault="00871BFF" w:rsidP="00871BFF">
      <w:pPr>
        <w:pStyle w:val="ListParagraph"/>
        <w:ind w:left="1440"/>
      </w:pPr>
    </w:p>
    <w:p w:rsidR="005F1696" w:rsidRDefault="00871BFF" w:rsidP="005F1696">
      <w:pPr>
        <w:pStyle w:val="ListParagraph"/>
        <w:numPr>
          <w:ilvl w:val="0"/>
          <w:numId w:val="3"/>
        </w:numPr>
      </w:pPr>
      <w:r>
        <w:t>What is considered to be a screening tool to assess trauma or burnout?  B</w:t>
      </w:r>
    </w:p>
    <w:p w:rsidR="00871BFF" w:rsidRDefault="00871BFF" w:rsidP="00871BFF">
      <w:pPr>
        <w:pStyle w:val="ListParagraph"/>
        <w:numPr>
          <w:ilvl w:val="1"/>
          <w:numId w:val="3"/>
        </w:numPr>
      </w:pPr>
      <w:r>
        <w:t>IRS tax return</w:t>
      </w:r>
    </w:p>
    <w:p w:rsidR="00871BFF" w:rsidRDefault="00871BFF" w:rsidP="00871BFF">
      <w:pPr>
        <w:pStyle w:val="ListParagraph"/>
        <w:numPr>
          <w:ilvl w:val="1"/>
          <w:numId w:val="3"/>
        </w:numPr>
      </w:pPr>
      <w:r>
        <w:t>Secondary Traumatic Stress Scale (STSS)</w:t>
      </w:r>
    </w:p>
    <w:p w:rsidR="00871BFF" w:rsidRDefault="00871BFF" w:rsidP="00871BFF">
      <w:pPr>
        <w:pStyle w:val="ListParagraph"/>
        <w:numPr>
          <w:ilvl w:val="1"/>
          <w:numId w:val="3"/>
        </w:numPr>
      </w:pPr>
      <w:r>
        <w:t>Grocery List</w:t>
      </w:r>
    </w:p>
    <w:p w:rsidR="00871BFF" w:rsidRDefault="00780A5D" w:rsidP="00871BFF">
      <w:pPr>
        <w:pStyle w:val="ListParagraph"/>
        <w:numPr>
          <w:ilvl w:val="1"/>
          <w:numId w:val="3"/>
        </w:numPr>
      </w:pPr>
      <w:r>
        <w:t>Asking about their childhood</w:t>
      </w:r>
      <w:bookmarkStart w:id="0" w:name="_GoBack"/>
      <w:bookmarkEnd w:id="0"/>
    </w:p>
    <w:p w:rsidR="00871BFF" w:rsidRDefault="00871BFF" w:rsidP="00871BFF">
      <w:pPr>
        <w:ind w:left="1080"/>
      </w:pPr>
    </w:p>
    <w:p w:rsidR="00871BFF" w:rsidRPr="00EE0186" w:rsidRDefault="00871BFF" w:rsidP="00871BFF">
      <w:pPr>
        <w:pStyle w:val="ListParagraph"/>
      </w:pPr>
    </w:p>
    <w:p w:rsidR="00156FA6" w:rsidRDefault="00156FA6"/>
    <w:sectPr w:rsidR="00156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78B5"/>
    <w:multiLevelType w:val="hybridMultilevel"/>
    <w:tmpl w:val="03309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F54AD"/>
    <w:multiLevelType w:val="hybridMultilevel"/>
    <w:tmpl w:val="1636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7068D"/>
    <w:multiLevelType w:val="hybridMultilevel"/>
    <w:tmpl w:val="1BDAFDFE"/>
    <w:lvl w:ilvl="0" w:tplc="979E2F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0A01F6A"/>
    <w:multiLevelType w:val="hybridMultilevel"/>
    <w:tmpl w:val="9F7E4D58"/>
    <w:lvl w:ilvl="0" w:tplc="98104A9E">
      <w:start w:val="1"/>
      <w:numFmt w:val="bullet"/>
      <w:lvlText w:val=""/>
      <w:lvlJc w:val="left"/>
      <w:pPr>
        <w:tabs>
          <w:tab w:val="num" w:pos="720"/>
        </w:tabs>
        <w:ind w:left="720" w:hanging="360"/>
      </w:pPr>
      <w:rPr>
        <w:rFonts w:ascii="Wingdings" w:hAnsi="Wingdings" w:hint="default"/>
      </w:rPr>
    </w:lvl>
    <w:lvl w:ilvl="1" w:tplc="0CFA2DE8">
      <w:start w:val="102"/>
      <w:numFmt w:val="bullet"/>
      <w:lvlText w:val=""/>
      <w:lvlJc w:val="left"/>
      <w:pPr>
        <w:tabs>
          <w:tab w:val="num" w:pos="1080"/>
        </w:tabs>
        <w:ind w:left="1080" w:hanging="360"/>
      </w:pPr>
      <w:rPr>
        <w:rFonts w:ascii="Wingdings" w:hAnsi="Wingdings" w:hint="default"/>
      </w:rPr>
    </w:lvl>
    <w:lvl w:ilvl="2" w:tplc="7BA26CD2">
      <w:start w:val="102"/>
      <w:numFmt w:val="bullet"/>
      <w:lvlText w:val=""/>
      <w:lvlJc w:val="left"/>
      <w:pPr>
        <w:tabs>
          <w:tab w:val="num" w:pos="2160"/>
        </w:tabs>
        <w:ind w:left="2160" w:hanging="360"/>
      </w:pPr>
      <w:rPr>
        <w:rFonts w:ascii="Wingdings" w:hAnsi="Wingdings" w:hint="default"/>
      </w:rPr>
    </w:lvl>
    <w:lvl w:ilvl="3" w:tplc="0CF8EDBC" w:tentative="1">
      <w:start w:val="1"/>
      <w:numFmt w:val="bullet"/>
      <w:lvlText w:val=""/>
      <w:lvlJc w:val="left"/>
      <w:pPr>
        <w:tabs>
          <w:tab w:val="num" w:pos="2880"/>
        </w:tabs>
        <w:ind w:left="2880" w:hanging="360"/>
      </w:pPr>
      <w:rPr>
        <w:rFonts w:ascii="Wingdings" w:hAnsi="Wingdings" w:hint="default"/>
      </w:rPr>
    </w:lvl>
    <w:lvl w:ilvl="4" w:tplc="F7868EA8" w:tentative="1">
      <w:start w:val="1"/>
      <w:numFmt w:val="bullet"/>
      <w:lvlText w:val=""/>
      <w:lvlJc w:val="left"/>
      <w:pPr>
        <w:tabs>
          <w:tab w:val="num" w:pos="3600"/>
        </w:tabs>
        <w:ind w:left="3600" w:hanging="360"/>
      </w:pPr>
      <w:rPr>
        <w:rFonts w:ascii="Wingdings" w:hAnsi="Wingdings" w:hint="default"/>
      </w:rPr>
    </w:lvl>
    <w:lvl w:ilvl="5" w:tplc="495CA0F0" w:tentative="1">
      <w:start w:val="1"/>
      <w:numFmt w:val="bullet"/>
      <w:lvlText w:val=""/>
      <w:lvlJc w:val="left"/>
      <w:pPr>
        <w:tabs>
          <w:tab w:val="num" w:pos="4320"/>
        </w:tabs>
        <w:ind w:left="4320" w:hanging="360"/>
      </w:pPr>
      <w:rPr>
        <w:rFonts w:ascii="Wingdings" w:hAnsi="Wingdings" w:hint="default"/>
      </w:rPr>
    </w:lvl>
    <w:lvl w:ilvl="6" w:tplc="AB78AAC6" w:tentative="1">
      <w:start w:val="1"/>
      <w:numFmt w:val="bullet"/>
      <w:lvlText w:val=""/>
      <w:lvlJc w:val="left"/>
      <w:pPr>
        <w:tabs>
          <w:tab w:val="num" w:pos="5040"/>
        </w:tabs>
        <w:ind w:left="5040" w:hanging="360"/>
      </w:pPr>
      <w:rPr>
        <w:rFonts w:ascii="Wingdings" w:hAnsi="Wingdings" w:hint="default"/>
      </w:rPr>
    </w:lvl>
    <w:lvl w:ilvl="7" w:tplc="EDE61B0E" w:tentative="1">
      <w:start w:val="1"/>
      <w:numFmt w:val="bullet"/>
      <w:lvlText w:val=""/>
      <w:lvlJc w:val="left"/>
      <w:pPr>
        <w:tabs>
          <w:tab w:val="num" w:pos="5760"/>
        </w:tabs>
        <w:ind w:left="5760" w:hanging="360"/>
      </w:pPr>
      <w:rPr>
        <w:rFonts w:ascii="Wingdings" w:hAnsi="Wingdings" w:hint="default"/>
      </w:rPr>
    </w:lvl>
    <w:lvl w:ilvl="8" w:tplc="3F10AAC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67"/>
    <w:rsid w:val="00156FA6"/>
    <w:rsid w:val="00324467"/>
    <w:rsid w:val="00436FCE"/>
    <w:rsid w:val="00483B54"/>
    <w:rsid w:val="005F1696"/>
    <w:rsid w:val="006C2155"/>
    <w:rsid w:val="00766410"/>
    <w:rsid w:val="00780A5D"/>
    <w:rsid w:val="00871BFF"/>
    <w:rsid w:val="00995BD3"/>
    <w:rsid w:val="00E02A67"/>
    <w:rsid w:val="00EE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72D82-82E0-47FE-A0A5-2EFC25BC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611986">
      <w:bodyDiv w:val="1"/>
      <w:marLeft w:val="0"/>
      <w:marRight w:val="0"/>
      <w:marTop w:val="0"/>
      <w:marBottom w:val="0"/>
      <w:divBdr>
        <w:top w:val="none" w:sz="0" w:space="0" w:color="auto"/>
        <w:left w:val="none" w:sz="0" w:space="0" w:color="auto"/>
        <w:bottom w:val="none" w:sz="0" w:space="0" w:color="auto"/>
        <w:right w:val="none" w:sz="0" w:space="0" w:color="auto"/>
      </w:divBdr>
      <w:divsChild>
        <w:div w:id="1948849130">
          <w:marLeft w:val="547"/>
          <w:marRight w:val="0"/>
          <w:marTop w:val="320"/>
          <w:marBottom w:val="0"/>
          <w:divBdr>
            <w:top w:val="none" w:sz="0" w:space="0" w:color="auto"/>
            <w:left w:val="none" w:sz="0" w:space="0" w:color="auto"/>
            <w:bottom w:val="none" w:sz="0" w:space="0" w:color="auto"/>
            <w:right w:val="none" w:sz="0" w:space="0" w:color="auto"/>
          </w:divBdr>
        </w:div>
        <w:div w:id="126630093">
          <w:marLeft w:val="547"/>
          <w:marRight w:val="0"/>
          <w:marTop w:val="320"/>
          <w:marBottom w:val="0"/>
          <w:divBdr>
            <w:top w:val="none" w:sz="0" w:space="0" w:color="auto"/>
            <w:left w:val="none" w:sz="0" w:space="0" w:color="auto"/>
            <w:bottom w:val="none" w:sz="0" w:space="0" w:color="auto"/>
            <w:right w:val="none" w:sz="0" w:space="0" w:color="auto"/>
          </w:divBdr>
        </w:div>
        <w:div w:id="1490629714">
          <w:marLeft w:val="547"/>
          <w:marRight w:val="0"/>
          <w:marTop w:val="320"/>
          <w:marBottom w:val="0"/>
          <w:divBdr>
            <w:top w:val="none" w:sz="0" w:space="0" w:color="auto"/>
            <w:left w:val="none" w:sz="0" w:space="0" w:color="auto"/>
            <w:bottom w:val="none" w:sz="0" w:space="0" w:color="auto"/>
            <w:right w:val="none" w:sz="0" w:space="0" w:color="auto"/>
          </w:divBdr>
        </w:div>
        <w:div w:id="810099924">
          <w:marLeft w:val="1411"/>
          <w:marRight w:val="0"/>
          <w:marTop w:val="120"/>
          <w:marBottom w:val="0"/>
          <w:divBdr>
            <w:top w:val="none" w:sz="0" w:space="0" w:color="auto"/>
            <w:left w:val="none" w:sz="0" w:space="0" w:color="auto"/>
            <w:bottom w:val="none" w:sz="0" w:space="0" w:color="auto"/>
            <w:right w:val="none" w:sz="0" w:space="0" w:color="auto"/>
          </w:divBdr>
        </w:div>
        <w:div w:id="623462933">
          <w:marLeft w:val="1411"/>
          <w:marRight w:val="0"/>
          <w:marTop w:val="120"/>
          <w:marBottom w:val="0"/>
          <w:divBdr>
            <w:top w:val="none" w:sz="0" w:space="0" w:color="auto"/>
            <w:left w:val="none" w:sz="0" w:space="0" w:color="auto"/>
            <w:bottom w:val="none" w:sz="0" w:space="0" w:color="auto"/>
            <w:right w:val="none" w:sz="0" w:space="0" w:color="auto"/>
          </w:divBdr>
        </w:div>
        <w:div w:id="564950899">
          <w:marLeft w:val="979"/>
          <w:marRight w:val="0"/>
          <w:marTop w:val="120"/>
          <w:marBottom w:val="0"/>
          <w:divBdr>
            <w:top w:val="none" w:sz="0" w:space="0" w:color="auto"/>
            <w:left w:val="none" w:sz="0" w:space="0" w:color="auto"/>
            <w:bottom w:val="none" w:sz="0" w:space="0" w:color="auto"/>
            <w:right w:val="none" w:sz="0" w:space="0" w:color="auto"/>
          </w:divBdr>
        </w:div>
        <w:div w:id="48722920">
          <w:marLeft w:val="979"/>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19B9B-5BF7-40DF-8212-7EF57D90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Sistrunk, Sarah</dc:creator>
  <cp:keywords/>
  <dc:description/>
  <cp:lastModifiedBy>Sistrunk, Sarah</cp:lastModifiedBy>
  <cp:revision>2</cp:revision>
  <dcterms:created xsi:type="dcterms:W3CDTF">2022-02-17T17:22:00Z</dcterms:created>
  <dcterms:modified xsi:type="dcterms:W3CDTF">2022-02-17T17:22:00Z</dcterms:modified>
</cp:coreProperties>
</file>